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5D85" w14:textId="6FC0A379" w:rsidR="00E962EE" w:rsidRDefault="00E962EE" w:rsidP="00E962EE">
      <w:pPr>
        <w:spacing w:line="240" w:lineRule="auto"/>
        <w:ind w:left="284" w:right="237"/>
        <w:rPr>
          <w:rFonts w:ascii="Times New Roman" w:hAnsi="Times New Roman" w:cs="Times New Roman"/>
          <w:sz w:val="24"/>
          <w:szCs w:val="24"/>
          <w:u w:val="single"/>
        </w:rPr>
      </w:pPr>
      <w:r>
        <w:rPr>
          <w:rFonts w:ascii="Times New Roman" w:hAnsi="Times New Roman" w:cs="Times New Roman"/>
          <w:sz w:val="24"/>
          <w:szCs w:val="24"/>
          <w:u w:val="single"/>
        </w:rPr>
        <w:t>IN THE COUNTY COURT AT</w:t>
      </w:r>
      <w:r w:rsidR="009B1D33">
        <w:rPr>
          <w:rFonts w:ascii="Times New Roman" w:hAnsi="Times New Roman" w:cs="Times New Roman"/>
          <w:sz w:val="24"/>
          <w:szCs w:val="24"/>
          <w:u w:val="single"/>
        </w:rPr>
        <w:t xml:space="preserve"> </w:t>
      </w:r>
      <w:r w:rsidR="0014092D">
        <w:rPr>
          <w:rFonts w:ascii="Times New Roman" w:hAnsi="Times New Roman" w:cs="Times New Roman"/>
          <w:sz w:val="24"/>
          <w:szCs w:val="24"/>
          <w:u w:val="single"/>
        </w:rPr>
        <w:t>LEEDS</w:t>
      </w:r>
    </w:p>
    <w:p w14:paraId="38FF037C" w14:textId="3A9CB273" w:rsidR="00E962EE" w:rsidRDefault="00E962EE" w:rsidP="00E962EE">
      <w:pPr>
        <w:spacing w:line="360" w:lineRule="auto"/>
        <w:ind w:left="284" w:right="237"/>
        <w:jc w:val="right"/>
        <w:rPr>
          <w:rFonts w:ascii="Times New Roman" w:hAnsi="Times New Roman" w:cs="Times New Roman"/>
          <w:sz w:val="24"/>
          <w:szCs w:val="24"/>
        </w:rPr>
      </w:pPr>
      <w:r>
        <w:rPr>
          <w:rFonts w:ascii="Times New Roman" w:hAnsi="Times New Roman" w:cs="Times New Roman"/>
          <w:sz w:val="24"/>
          <w:szCs w:val="24"/>
        </w:rPr>
        <w:t xml:space="preserve">Case No. </w:t>
      </w:r>
      <w:r w:rsidR="00CC703C">
        <w:rPr>
          <w:rFonts w:ascii="Times New Roman" w:hAnsi="Times New Roman" w:cs="Times New Roman"/>
          <w:sz w:val="24"/>
          <w:szCs w:val="24"/>
        </w:rPr>
        <w:t>K01LS511</w:t>
      </w:r>
    </w:p>
    <w:p w14:paraId="0E406930" w14:textId="28E2DA1E" w:rsidR="00E74242" w:rsidRDefault="00E74242" w:rsidP="00E962EE">
      <w:pPr>
        <w:spacing w:line="360" w:lineRule="auto"/>
        <w:ind w:left="284" w:right="237"/>
        <w:jc w:val="right"/>
        <w:rPr>
          <w:rFonts w:ascii="Times New Roman" w:hAnsi="Times New Roman" w:cs="Times New Roman"/>
          <w:sz w:val="24"/>
          <w:szCs w:val="24"/>
        </w:rPr>
      </w:pPr>
      <w:r>
        <w:rPr>
          <w:rFonts w:ascii="Times New Roman" w:hAnsi="Times New Roman" w:cs="Times New Roman"/>
          <w:sz w:val="24"/>
          <w:szCs w:val="24"/>
        </w:rPr>
        <w:t>Courtroom No. 19</w:t>
      </w:r>
    </w:p>
    <w:p w14:paraId="17089588" w14:textId="24A8790D" w:rsidR="009B1D33" w:rsidRDefault="00480E34" w:rsidP="00E962EE">
      <w:pPr>
        <w:pStyle w:val="NoSpacing"/>
        <w:ind w:left="284" w:right="237"/>
        <w:jc w:val="right"/>
        <w:rPr>
          <w:rFonts w:ascii="Times New Roman" w:hAnsi="Times New Roman" w:cs="Times New Roman"/>
          <w:sz w:val="24"/>
          <w:szCs w:val="24"/>
        </w:rPr>
      </w:pPr>
      <w:r>
        <w:rPr>
          <w:rFonts w:ascii="Times New Roman" w:hAnsi="Times New Roman" w:cs="Times New Roman"/>
          <w:sz w:val="24"/>
          <w:szCs w:val="24"/>
        </w:rPr>
        <w:t>The Courthouse</w:t>
      </w:r>
    </w:p>
    <w:p w14:paraId="0F8C63D6" w14:textId="06FC27DE" w:rsidR="00480E34" w:rsidRDefault="00480E34" w:rsidP="00E962EE">
      <w:pPr>
        <w:pStyle w:val="NoSpacing"/>
        <w:ind w:left="284" w:right="237"/>
        <w:jc w:val="right"/>
        <w:rPr>
          <w:rFonts w:ascii="Times New Roman" w:hAnsi="Times New Roman" w:cs="Times New Roman"/>
          <w:sz w:val="24"/>
          <w:szCs w:val="24"/>
        </w:rPr>
      </w:pPr>
      <w:r>
        <w:rPr>
          <w:rFonts w:ascii="Times New Roman" w:hAnsi="Times New Roman" w:cs="Times New Roman"/>
          <w:sz w:val="24"/>
          <w:szCs w:val="24"/>
        </w:rPr>
        <w:t>1 Oxford Row</w:t>
      </w:r>
    </w:p>
    <w:p w14:paraId="09776A07" w14:textId="32A45C6C" w:rsidR="00480E34" w:rsidRDefault="00480E34" w:rsidP="00E962EE">
      <w:pPr>
        <w:pStyle w:val="NoSpacing"/>
        <w:ind w:left="284" w:right="237"/>
        <w:jc w:val="right"/>
        <w:rPr>
          <w:rFonts w:ascii="Times New Roman" w:hAnsi="Times New Roman" w:cs="Times New Roman"/>
          <w:sz w:val="24"/>
          <w:szCs w:val="24"/>
        </w:rPr>
      </w:pPr>
      <w:r>
        <w:rPr>
          <w:rFonts w:ascii="Times New Roman" w:hAnsi="Times New Roman" w:cs="Times New Roman"/>
          <w:sz w:val="24"/>
          <w:szCs w:val="24"/>
        </w:rPr>
        <w:t>Leeds</w:t>
      </w:r>
    </w:p>
    <w:p w14:paraId="02BF0D85" w14:textId="39E23CB0" w:rsidR="00480E34" w:rsidRDefault="00480E34" w:rsidP="00E962EE">
      <w:pPr>
        <w:pStyle w:val="NoSpacing"/>
        <w:ind w:left="284" w:right="237"/>
        <w:jc w:val="right"/>
        <w:rPr>
          <w:rFonts w:ascii="Times New Roman" w:hAnsi="Times New Roman" w:cs="Times New Roman"/>
          <w:sz w:val="24"/>
          <w:szCs w:val="24"/>
        </w:rPr>
      </w:pPr>
      <w:r>
        <w:rPr>
          <w:rFonts w:ascii="Times New Roman" w:hAnsi="Times New Roman" w:cs="Times New Roman"/>
          <w:sz w:val="24"/>
          <w:szCs w:val="24"/>
        </w:rPr>
        <w:t>LS1 3BG</w:t>
      </w:r>
    </w:p>
    <w:p w14:paraId="23804F3A" w14:textId="0C6C24E3" w:rsidR="00E962EE" w:rsidRDefault="00E962EE" w:rsidP="00E962EE">
      <w:pPr>
        <w:pStyle w:val="NoSpacing"/>
        <w:ind w:left="284" w:right="237"/>
        <w:jc w:val="right"/>
        <w:rPr>
          <w:rFonts w:ascii="Times New Roman" w:hAnsi="Times New Roman" w:cs="Times New Roman"/>
          <w:sz w:val="24"/>
          <w:szCs w:val="24"/>
        </w:rPr>
      </w:pPr>
    </w:p>
    <w:p w14:paraId="0B1B2526" w14:textId="7BB098FA" w:rsidR="00E962EE" w:rsidRDefault="002D5662" w:rsidP="00E962EE">
      <w:pPr>
        <w:pStyle w:val="NoSpacing"/>
        <w:ind w:left="284" w:right="237"/>
        <w:jc w:val="right"/>
        <w:rPr>
          <w:rFonts w:ascii="Times New Roman" w:hAnsi="Times New Roman" w:cs="Times New Roman"/>
          <w:sz w:val="24"/>
          <w:szCs w:val="24"/>
        </w:rPr>
      </w:pPr>
      <w:r>
        <w:rPr>
          <w:rFonts w:ascii="Times New Roman" w:hAnsi="Times New Roman" w:cs="Times New Roman"/>
          <w:sz w:val="24"/>
          <w:szCs w:val="24"/>
        </w:rPr>
        <w:t xml:space="preserve">Wednesday, </w:t>
      </w:r>
      <w:r w:rsidR="00BD377B">
        <w:rPr>
          <w:rFonts w:ascii="Times New Roman" w:hAnsi="Times New Roman" w:cs="Times New Roman"/>
          <w:sz w:val="24"/>
          <w:szCs w:val="24"/>
        </w:rPr>
        <w:t>29</w:t>
      </w:r>
      <w:r w:rsidR="00BD377B" w:rsidRPr="00BD377B">
        <w:rPr>
          <w:rFonts w:ascii="Times New Roman" w:hAnsi="Times New Roman" w:cs="Times New Roman"/>
          <w:sz w:val="24"/>
          <w:szCs w:val="24"/>
          <w:vertAlign w:val="superscript"/>
        </w:rPr>
        <w:t>th</w:t>
      </w:r>
      <w:r w:rsidR="00BD377B">
        <w:rPr>
          <w:rFonts w:ascii="Times New Roman" w:hAnsi="Times New Roman" w:cs="Times New Roman"/>
          <w:sz w:val="24"/>
          <w:szCs w:val="24"/>
        </w:rPr>
        <w:t xml:space="preserve"> November 2023</w:t>
      </w:r>
    </w:p>
    <w:p w14:paraId="787F9BAB" w14:textId="5283F52B" w:rsidR="00E962EE" w:rsidRDefault="00E962EE" w:rsidP="00E962EE">
      <w:pPr>
        <w:pStyle w:val="NoSpacing"/>
        <w:ind w:left="284" w:right="237"/>
        <w:jc w:val="right"/>
        <w:rPr>
          <w:rFonts w:ascii="Times New Roman" w:hAnsi="Times New Roman" w:cs="Times New Roman"/>
          <w:sz w:val="24"/>
          <w:szCs w:val="24"/>
        </w:rPr>
      </w:pPr>
    </w:p>
    <w:p w14:paraId="2B614AD0" w14:textId="075C652E" w:rsidR="00E962EE" w:rsidRDefault="00E962EE" w:rsidP="00E962EE">
      <w:pPr>
        <w:pStyle w:val="NoSpacing"/>
        <w:ind w:left="284" w:right="237"/>
        <w:jc w:val="center"/>
        <w:rPr>
          <w:rFonts w:ascii="Times New Roman" w:hAnsi="Times New Roman" w:cs="Times New Roman"/>
          <w:sz w:val="24"/>
          <w:szCs w:val="24"/>
        </w:rPr>
      </w:pPr>
      <w:r>
        <w:rPr>
          <w:rFonts w:ascii="Times New Roman" w:hAnsi="Times New Roman" w:cs="Times New Roman"/>
          <w:sz w:val="24"/>
          <w:szCs w:val="24"/>
        </w:rPr>
        <w:t>Before:</w:t>
      </w:r>
    </w:p>
    <w:p w14:paraId="7EA24F67" w14:textId="4D522095" w:rsidR="00E962EE" w:rsidRDefault="00E962EE" w:rsidP="00E962EE">
      <w:pPr>
        <w:pStyle w:val="NoSpacing"/>
        <w:ind w:left="284" w:right="237"/>
        <w:jc w:val="center"/>
        <w:rPr>
          <w:rFonts w:ascii="Times New Roman" w:hAnsi="Times New Roman" w:cs="Times New Roman"/>
          <w:sz w:val="24"/>
          <w:szCs w:val="24"/>
        </w:rPr>
      </w:pPr>
      <w:r>
        <w:rPr>
          <w:rFonts w:ascii="Times New Roman" w:hAnsi="Times New Roman" w:cs="Times New Roman"/>
          <w:sz w:val="24"/>
          <w:szCs w:val="24"/>
        </w:rPr>
        <w:t xml:space="preserve">DISTRICT JUDGE </w:t>
      </w:r>
      <w:r w:rsidR="002D5662">
        <w:rPr>
          <w:rFonts w:ascii="Times New Roman" w:hAnsi="Times New Roman" w:cs="Times New Roman"/>
          <w:sz w:val="24"/>
          <w:szCs w:val="24"/>
        </w:rPr>
        <w:t>R</w:t>
      </w:r>
      <w:r w:rsidR="00BD377B">
        <w:rPr>
          <w:rFonts w:ascii="Times New Roman" w:hAnsi="Times New Roman" w:cs="Times New Roman"/>
          <w:sz w:val="24"/>
          <w:szCs w:val="24"/>
        </w:rPr>
        <w:t>OYLE</w:t>
      </w:r>
    </w:p>
    <w:p w14:paraId="404D19BC" w14:textId="38FFBC51" w:rsidR="00E962EE" w:rsidRDefault="00E962EE" w:rsidP="00E962EE">
      <w:pPr>
        <w:pStyle w:val="NoSpacing"/>
        <w:ind w:left="284" w:right="237"/>
        <w:jc w:val="center"/>
        <w:rPr>
          <w:rFonts w:ascii="Times New Roman" w:hAnsi="Times New Roman" w:cs="Times New Roman"/>
          <w:sz w:val="24"/>
          <w:szCs w:val="24"/>
        </w:rPr>
      </w:pPr>
    </w:p>
    <w:p w14:paraId="45E84F42" w14:textId="77777777" w:rsidR="00E962EE" w:rsidRDefault="00E962EE" w:rsidP="00E962EE">
      <w:pPr>
        <w:pStyle w:val="NoSpacing"/>
        <w:ind w:left="284" w:right="237"/>
        <w:jc w:val="center"/>
        <w:rPr>
          <w:rFonts w:ascii="Times New Roman" w:hAnsi="Times New Roman" w:cs="Times New Roman"/>
          <w:sz w:val="24"/>
          <w:szCs w:val="24"/>
        </w:rPr>
      </w:pPr>
    </w:p>
    <w:p w14:paraId="6BD16152" w14:textId="4CAE0D4D" w:rsidR="00E962EE" w:rsidRDefault="00E962EE" w:rsidP="00E962EE">
      <w:pPr>
        <w:pStyle w:val="NoSpacing"/>
        <w:ind w:left="284" w:right="237"/>
        <w:rPr>
          <w:rFonts w:ascii="Times New Roman" w:hAnsi="Times New Roman" w:cs="Times New Roman"/>
          <w:sz w:val="24"/>
          <w:szCs w:val="24"/>
        </w:rPr>
      </w:pPr>
      <w:r>
        <w:rPr>
          <w:rFonts w:ascii="Times New Roman" w:hAnsi="Times New Roman" w:cs="Times New Roman"/>
          <w:sz w:val="24"/>
          <w:szCs w:val="24"/>
        </w:rPr>
        <w:t>B E T W E E N:</w:t>
      </w:r>
    </w:p>
    <w:p w14:paraId="4C412B1F" w14:textId="3B0273F2" w:rsidR="00E962EE" w:rsidRDefault="00E962EE" w:rsidP="00E962EE">
      <w:pPr>
        <w:pStyle w:val="NoSpacing"/>
        <w:ind w:left="284" w:right="237"/>
        <w:jc w:val="center"/>
        <w:rPr>
          <w:rFonts w:ascii="Times New Roman" w:hAnsi="Times New Roman" w:cs="Times New Roman"/>
          <w:sz w:val="24"/>
          <w:szCs w:val="24"/>
        </w:rPr>
      </w:pPr>
    </w:p>
    <w:p w14:paraId="6826F130" w14:textId="77777777" w:rsidR="00E962EE" w:rsidRDefault="00E962EE" w:rsidP="00E962EE">
      <w:pPr>
        <w:pStyle w:val="NoSpacing"/>
        <w:ind w:left="284" w:right="237"/>
        <w:jc w:val="center"/>
        <w:rPr>
          <w:rFonts w:ascii="Times New Roman" w:hAnsi="Times New Roman" w:cs="Times New Roman"/>
          <w:sz w:val="24"/>
          <w:szCs w:val="24"/>
        </w:rPr>
      </w:pPr>
    </w:p>
    <w:p w14:paraId="1CF2BD4E" w14:textId="5CB9CA3C" w:rsidR="00E962EE" w:rsidRDefault="003A1871" w:rsidP="00E962EE">
      <w:pPr>
        <w:pStyle w:val="NoSpacing"/>
        <w:ind w:left="284" w:right="237"/>
        <w:jc w:val="center"/>
        <w:rPr>
          <w:rFonts w:ascii="Times New Roman" w:hAnsi="Times New Roman" w:cs="Times New Roman"/>
          <w:sz w:val="24"/>
          <w:szCs w:val="24"/>
        </w:rPr>
      </w:pPr>
      <w:r>
        <w:rPr>
          <w:rFonts w:ascii="Times New Roman" w:hAnsi="Times New Roman" w:cs="Times New Roman"/>
          <w:sz w:val="24"/>
          <w:szCs w:val="24"/>
        </w:rPr>
        <w:t>PAULLEY</w:t>
      </w:r>
    </w:p>
    <w:p w14:paraId="10DCBD00" w14:textId="2E5F30C4" w:rsidR="00E962EE" w:rsidRDefault="00E962EE" w:rsidP="00E962EE">
      <w:pPr>
        <w:pStyle w:val="NoSpacing"/>
        <w:ind w:left="284" w:right="237"/>
        <w:jc w:val="center"/>
        <w:rPr>
          <w:rFonts w:ascii="Times New Roman" w:hAnsi="Times New Roman" w:cs="Times New Roman"/>
          <w:sz w:val="24"/>
          <w:szCs w:val="24"/>
        </w:rPr>
      </w:pPr>
    </w:p>
    <w:p w14:paraId="14DE9B8F" w14:textId="77777777" w:rsidR="00E962EE" w:rsidRDefault="00E962EE" w:rsidP="00E962EE">
      <w:pPr>
        <w:pStyle w:val="NoSpacing"/>
        <w:ind w:left="284" w:right="237"/>
        <w:jc w:val="center"/>
        <w:rPr>
          <w:rFonts w:ascii="Times New Roman" w:hAnsi="Times New Roman" w:cs="Times New Roman"/>
          <w:sz w:val="24"/>
          <w:szCs w:val="24"/>
        </w:rPr>
      </w:pPr>
    </w:p>
    <w:p w14:paraId="08D7099E" w14:textId="62B8DF94" w:rsidR="00E962EE" w:rsidRDefault="00E962EE" w:rsidP="00E962EE">
      <w:pPr>
        <w:pStyle w:val="NoSpacing"/>
        <w:ind w:left="284" w:right="237"/>
        <w:jc w:val="center"/>
        <w:rPr>
          <w:rFonts w:ascii="Times New Roman" w:hAnsi="Times New Roman" w:cs="Times New Roman"/>
          <w:sz w:val="24"/>
          <w:szCs w:val="24"/>
        </w:rPr>
      </w:pPr>
      <w:r>
        <w:rPr>
          <w:rFonts w:ascii="Times New Roman" w:hAnsi="Times New Roman" w:cs="Times New Roman"/>
          <w:sz w:val="24"/>
          <w:szCs w:val="24"/>
        </w:rPr>
        <w:t>and</w:t>
      </w:r>
    </w:p>
    <w:p w14:paraId="29FC0AEC" w14:textId="6C7F57D2" w:rsidR="00E962EE" w:rsidRDefault="00E962EE" w:rsidP="00E962EE">
      <w:pPr>
        <w:pStyle w:val="NoSpacing"/>
        <w:ind w:left="284" w:right="237"/>
        <w:jc w:val="center"/>
        <w:rPr>
          <w:rFonts w:ascii="Times New Roman" w:hAnsi="Times New Roman" w:cs="Times New Roman"/>
          <w:sz w:val="24"/>
          <w:szCs w:val="24"/>
        </w:rPr>
      </w:pPr>
    </w:p>
    <w:p w14:paraId="6C59069A" w14:textId="77777777" w:rsidR="00E962EE" w:rsidRDefault="00E962EE" w:rsidP="00E962EE">
      <w:pPr>
        <w:pStyle w:val="NoSpacing"/>
        <w:ind w:left="284" w:right="237"/>
        <w:jc w:val="center"/>
        <w:rPr>
          <w:rFonts w:ascii="Times New Roman" w:hAnsi="Times New Roman" w:cs="Times New Roman"/>
          <w:sz w:val="24"/>
          <w:szCs w:val="24"/>
        </w:rPr>
      </w:pPr>
    </w:p>
    <w:p w14:paraId="0FC213A8" w14:textId="27D42179" w:rsidR="00E962EE" w:rsidRDefault="003A1871" w:rsidP="00E962EE">
      <w:pPr>
        <w:pStyle w:val="NoSpacing"/>
        <w:ind w:left="284" w:right="237"/>
        <w:jc w:val="center"/>
        <w:rPr>
          <w:rFonts w:ascii="Times New Roman" w:hAnsi="Times New Roman" w:cs="Times New Roman"/>
          <w:sz w:val="24"/>
          <w:szCs w:val="24"/>
        </w:rPr>
      </w:pPr>
      <w:r>
        <w:rPr>
          <w:rFonts w:ascii="Times New Roman" w:hAnsi="Times New Roman" w:cs="Times New Roman"/>
          <w:sz w:val="24"/>
          <w:szCs w:val="24"/>
        </w:rPr>
        <w:t>RADIS</w:t>
      </w:r>
      <w:r w:rsidR="001B3A0B">
        <w:rPr>
          <w:rFonts w:ascii="Times New Roman" w:hAnsi="Times New Roman" w:cs="Times New Roman"/>
          <w:sz w:val="24"/>
          <w:szCs w:val="24"/>
        </w:rPr>
        <w:t>S</w:t>
      </w:r>
      <w:r>
        <w:rPr>
          <w:rFonts w:ascii="Times New Roman" w:hAnsi="Times New Roman" w:cs="Times New Roman"/>
          <w:sz w:val="24"/>
          <w:szCs w:val="24"/>
        </w:rPr>
        <w:t>ON HOTEL EDINBURGH LIMITED</w:t>
      </w:r>
    </w:p>
    <w:p w14:paraId="503DB666" w14:textId="6A8B4649" w:rsidR="00E962EE" w:rsidRDefault="00E962EE" w:rsidP="00E962EE">
      <w:pPr>
        <w:pStyle w:val="NoSpacing"/>
        <w:ind w:left="284" w:right="237"/>
        <w:jc w:val="center"/>
        <w:rPr>
          <w:rFonts w:ascii="Times New Roman" w:hAnsi="Times New Roman" w:cs="Times New Roman"/>
          <w:sz w:val="24"/>
          <w:szCs w:val="24"/>
        </w:rPr>
      </w:pPr>
    </w:p>
    <w:p w14:paraId="7C14598C" w14:textId="0385F308" w:rsidR="00E962EE" w:rsidRDefault="00E962EE" w:rsidP="00E962EE">
      <w:pPr>
        <w:pStyle w:val="NoSpacing"/>
        <w:ind w:left="284" w:right="237"/>
        <w:rPr>
          <w:rFonts w:ascii="Times New Roman" w:hAnsi="Times New Roman" w:cs="Times New Roman"/>
          <w:sz w:val="24"/>
          <w:szCs w:val="24"/>
        </w:rPr>
      </w:pPr>
    </w:p>
    <w:p w14:paraId="6D54E26D" w14:textId="77777777" w:rsidR="00E962EE" w:rsidRDefault="00E962EE" w:rsidP="00E962EE">
      <w:pPr>
        <w:pStyle w:val="NoSpacing"/>
        <w:ind w:left="284" w:right="237"/>
        <w:rPr>
          <w:rFonts w:ascii="Times New Roman" w:hAnsi="Times New Roman" w:cs="Times New Roman"/>
          <w:sz w:val="24"/>
          <w:szCs w:val="24"/>
        </w:rPr>
      </w:pPr>
    </w:p>
    <w:p w14:paraId="5BCDF6BF" w14:textId="6BE1917B" w:rsidR="00E962EE" w:rsidRDefault="00CD349A" w:rsidP="00E962EE">
      <w:pPr>
        <w:pStyle w:val="NoSpacing"/>
        <w:ind w:left="284" w:right="237"/>
        <w:rPr>
          <w:rFonts w:ascii="Times New Roman" w:hAnsi="Times New Roman" w:cs="Times New Roman"/>
          <w:sz w:val="24"/>
          <w:szCs w:val="24"/>
        </w:rPr>
      </w:pPr>
      <w:r>
        <w:rPr>
          <w:rFonts w:ascii="Times New Roman" w:hAnsi="Times New Roman" w:cs="Times New Roman"/>
          <w:sz w:val="24"/>
          <w:szCs w:val="24"/>
        </w:rPr>
        <w:t xml:space="preserve">THE </w:t>
      </w:r>
      <w:r w:rsidR="00C20DDD">
        <w:rPr>
          <w:rFonts w:ascii="Times New Roman" w:hAnsi="Times New Roman" w:cs="Times New Roman"/>
          <w:sz w:val="24"/>
          <w:szCs w:val="24"/>
        </w:rPr>
        <w:t>CLAIMANT appeared In Person</w:t>
      </w:r>
    </w:p>
    <w:p w14:paraId="7C405E16" w14:textId="27D1138F" w:rsidR="00E962EE" w:rsidRDefault="00575A2E" w:rsidP="00E962EE">
      <w:pPr>
        <w:pStyle w:val="NoSpacing"/>
        <w:ind w:left="284" w:right="237"/>
        <w:rPr>
          <w:rFonts w:ascii="Times New Roman" w:hAnsi="Times New Roman" w:cs="Times New Roman"/>
          <w:sz w:val="24"/>
          <w:szCs w:val="24"/>
        </w:rPr>
      </w:pPr>
      <w:r>
        <w:rPr>
          <w:rFonts w:ascii="Times New Roman" w:hAnsi="Times New Roman" w:cs="Times New Roman"/>
          <w:sz w:val="24"/>
          <w:szCs w:val="24"/>
        </w:rPr>
        <w:t>MR R QUICKFALL appeared on behalf of the Defendant</w:t>
      </w:r>
    </w:p>
    <w:p w14:paraId="312EE676" w14:textId="6F4BFFA0" w:rsidR="00E962EE" w:rsidRDefault="00E962EE" w:rsidP="00E962EE">
      <w:pPr>
        <w:pStyle w:val="NoSpacing"/>
        <w:ind w:left="284" w:right="237"/>
        <w:jc w:val="center"/>
        <w:rPr>
          <w:rFonts w:ascii="Times New Roman" w:hAnsi="Times New Roman" w:cs="Times New Roman"/>
          <w:sz w:val="24"/>
          <w:szCs w:val="24"/>
        </w:rPr>
      </w:pPr>
    </w:p>
    <w:p w14:paraId="519A9742" w14:textId="21D11FC8" w:rsidR="00E962EE" w:rsidRDefault="00E962EE" w:rsidP="00E962EE">
      <w:pPr>
        <w:pStyle w:val="NoSpacing"/>
        <w:ind w:left="284" w:right="237"/>
        <w:jc w:val="center"/>
        <w:rPr>
          <w:rFonts w:ascii="Times New Roman" w:hAnsi="Times New Roman" w:cs="Times New Roman"/>
          <w:sz w:val="24"/>
          <w:szCs w:val="24"/>
        </w:rPr>
      </w:pPr>
      <w:r>
        <w:rPr>
          <w:rFonts w:ascii="Times New Roman" w:hAnsi="Times New Roman" w:cs="Times New Roman"/>
          <w:sz w:val="24"/>
          <w:szCs w:val="24"/>
        </w:rPr>
        <w:t>JUDGMENT</w:t>
      </w:r>
    </w:p>
    <w:p w14:paraId="6EBCFDD1" w14:textId="771D196F" w:rsidR="00E962EE" w:rsidRDefault="00E962EE" w:rsidP="00E962EE">
      <w:pPr>
        <w:pStyle w:val="NoSpacing"/>
        <w:ind w:left="284" w:right="237"/>
        <w:jc w:val="center"/>
        <w:rPr>
          <w:rFonts w:ascii="Times New Roman" w:hAnsi="Times New Roman" w:cs="Times New Roman"/>
          <w:sz w:val="24"/>
          <w:szCs w:val="24"/>
        </w:rPr>
      </w:pPr>
      <w:r>
        <w:rPr>
          <w:rFonts w:ascii="Times New Roman" w:hAnsi="Times New Roman" w:cs="Times New Roman"/>
          <w:sz w:val="24"/>
          <w:szCs w:val="24"/>
        </w:rPr>
        <w:t>(Approv</w:t>
      </w:r>
      <w:r w:rsidR="00242B76">
        <w:rPr>
          <w:rFonts w:ascii="Times New Roman" w:hAnsi="Times New Roman" w:cs="Times New Roman"/>
          <w:sz w:val="24"/>
          <w:szCs w:val="24"/>
        </w:rPr>
        <w:t>ed</w:t>
      </w:r>
      <w:r>
        <w:rPr>
          <w:rFonts w:ascii="Times New Roman" w:hAnsi="Times New Roman" w:cs="Times New Roman"/>
          <w:sz w:val="24"/>
          <w:szCs w:val="24"/>
        </w:rPr>
        <w:t>)</w:t>
      </w:r>
    </w:p>
    <w:p w14:paraId="3C811D62" w14:textId="0EB6F600" w:rsidR="00E962EE" w:rsidRDefault="00E962EE" w:rsidP="00E962EE">
      <w:pPr>
        <w:pStyle w:val="NoSpacing"/>
        <w:ind w:left="284" w:right="237"/>
        <w:jc w:val="center"/>
        <w:rPr>
          <w:rFonts w:ascii="Times New Roman" w:hAnsi="Times New Roman" w:cs="Times New Roman"/>
          <w:sz w:val="24"/>
          <w:szCs w:val="24"/>
        </w:rPr>
      </w:pPr>
    </w:p>
    <w:p w14:paraId="6491E627" w14:textId="77777777" w:rsidR="001E4C42" w:rsidRPr="008863FC" w:rsidRDefault="001E4C42" w:rsidP="001E4C42">
      <w:pPr>
        <w:suppressLineNumbers/>
        <w:jc w:val="both"/>
        <w:rPr>
          <w:rFonts w:ascii="Times New Roman" w:hAnsi="Times New Roman" w:cs="Times New Roman"/>
          <w:i/>
        </w:rPr>
      </w:pPr>
      <w:r w:rsidRPr="008863FC">
        <w:rPr>
          <w:rFonts w:ascii="Times New Roman" w:hAnsi="Times New Roman" w:cs="Times New Roman"/>
          <w:i/>
        </w:rPr>
        <w:t xml:space="preserve">This Transcript is Crown Copyright.  It may not be reproduced in whole or in part, other than in accordance with </w:t>
      </w:r>
      <w:r w:rsidRPr="008863FC">
        <w:rPr>
          <w:rFonts w:ascii="Times New Roman" w:hAnsi="Times New Roman" w:cs="Times New Roman"/>
          <w:bCs/>
          <w:i/>
        </w:rPr>
        <w:t>relevant licence</w:t>
      </w:r>
      <w:r w:rsidRPr="008863FC">
        <w:rPr>
          <w:rFonts w:ascii="Times New Roman" w:hAnsi="Times New Roman" w:cs="Times New Roman"/>
          <w:i/>
        </w:rPr>
        <w:t xml:space="preserve"> or with the express consent of the Authority.  All rights are reserved.</w:t>
      </w:r>
    </w:p>
    <w:p w14:paraId="4C374746" w14:textId="77777777" w:rsidR="001E4C42" w:rsidRPr="008863FC" w:rsidRDefault="001E4C42" w:rsidP="001E4C42">
      <w:pPr>
        <w:suppressLineNumbers/>
        <w:jc w:val="both"/>
        <w:rPr>
          <w:rFonts w:ascii="Times New Roman" w:hAnsi="Times New Roman" w:cs="Times New Roman"/>
          <w:i/>
        </w:rPr>
      </w:pPr>
    </w:p>
    <w:p w14:paraId="04BBBDC8" w14:textId="7FB631DA" w:rsidR="00E962EE" w:rsidRPr="00E962EE" w:rsidRDefault="001E4C42" w:rsidP="001E4C42">
      <w:pPr>
        <w:pStyle w:val="NoSpacing"/>
        <w:ind w:right="237"/>
        <w:jc w:val="both"/>
        <w:rPr>
          <w:rFonts w:ascii="Times New Roman" w:hAnsi="Times New Roman" w:cs="Times New Roman"/>
          <w:i/>
          <w:iCs/>
        </w:rPr>
      </w:pPr>
      <w:r w:rsidRPr="008863FC">
        <w:rPr>
          <w:rFonts w:ascii="Times New Roman" w:hAnsi="Times New Roman" w:cs="Times New Roman"/>
          <w:i/>
        </w:rPr>
        <w:t>WARNING: reporting restrictions may apply to the contents transcribed in this document, particularly if the case concerned a sexual offence or involved a child.  Reporting restrictions prohibit the publication of the applicable information to the public or any section of the public, in writing, in a broadcast or by means of the internet, including social media.  Anyone who receives a copy of this transcript is responsible in law for making sure that applicable restrictions are not breached.  A person who breaches a reporting restriction is liable to a fine and/or imprisonment.  For guidance on whether reporting restrictions apply, and to what information, ask at the court office or take legal advice</w:t>
      </w:r>
      <w:r w:rsidR="00E962EE" w:rsidRPr="00E962EE">
        <w:rPr>
          <w:rFonts w:ascii="Times New Roman" w:hAnsi="Times New Roman" w:cs="Times New Roman"/>
          <w:i/>
          <w:iCs/>
        </w:rPr>
        <w:t>.</w:t>
      </w:r>
    </w:p>
    <w:p w14:paraId="029193EA" w14:textId="28981A69" w:rsidR="00E962EE" w:rsidRDefault="00E962EE" w:rsidP="00E962EE">
      <w:pPr>
        <w:spacing w:line="240" w:lineRule="auto"/>
        <w:jc w:val="right"/>
        <w:rPr>
          <w:rFonts w:ascii="Times New Roman" w:hAnsi="Times New Roman" w:cs="Times New Roman"/>
          <w:sz w:val="24"/>
          <w:szCs w:val="24"/>
        </w:rPr>
      </w:pPr>
    </w:p>
    <w:p w14:paraId="576F5036" w14:textId="77777777" w:rsidR="002D5662" w:rsidRDefault="002D5662">
      <w:pPr>
        <w:rPr>
          <w:rFonts w:ascii="Times New Roman" w:hAnsi="Times New Roman" w:cs="Times New Roman"/>
          <w:sz w:val="24"/>
          <w:szCs w:val="24"/>
        </w:rPr>
      </w:pPr>
      <w:r>
        <w:rPr>
          <w:rFonts w:ascii="Times New Roman" w:hAnsi="Times New Roman" w:cs="Times New Roman"/>
          <w:sz w:val="24"/>
          <w:szCs w:val="24"/>
        </w:rPr>
        <w:br w:type="page"/>
      </w:r>
    </w:p>
    <w:p w14:paraId="6E3A0270" w14:textId="3BF61418" w:rsidR="00ED6EE5" w:rsidRDefault="00ED6EE5" w:rsidP="002736A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DJ </w:t>
      </w:r>
      <w:r w:rsidR="002D5662">
        <w:rPr>
          <w:rFonts w:ascii="Times New Roman" w:hAnsi="Times New Roman" w:cs="Times New Roman"/>
          <w:sz w:val="24"/>
          <w:szCs w:val="24"/>
        </w:rPr>
        <w:t>R</w:t>
      </w:r>
      <w:r w:rsidR="00676A25">
        <w:rPr>
          <w:rFonts w:ascii="Times New Roman" w:hAnsi="Times New Roman" w:cs="Times New Roman"/>
          <w:sz w:val="24"/>
          <w:szCs w:val="24"/>
        </w:rPr>
        <w:t>OYLE</w:t>
      </w:r>
      <w:r w:rsidR="005A79BA">
        <w:rPr>
          <w:rFonts w:ascii="Times New Roman" w:hAnsi="Times New Roman" w:cs="Times New Roman"/>
          <w:sz w:val="24"/>
          <w:szCs w:val="24"/>
        </w:rPr>
        <w:t>:</w:t>
      </w:r>
    </w:p>
    <w:p w14:paraId="1F3BB583" w14:textId="50AF18C3" w:rsidR="00ED6EE5" w:rsidRDefault="00ED6EE5" w:rsidP="002736AC">
      <w:pPr>
        <w:spacing w:line="240" w:lineRule="auto"/>
        <w:rPr>
          <w:rFonts w:ascii="Times New Roman" w:hAnsi="Times New Roman" w:cs="Times New Roman"/>
          <w:sz w:val="24"/>
          <w:szCs w:val="24"/>
        </w:rPr>
      </w:pPr>
    </w:p>
    <w:p w14:paraId="66E0DCEE" w14:textId="0BA5E210" w:rsidR="000078FB" w:rsidRDefault="00BD2A2C" w:rsidP="002736AC">
      <w:pPr>
        <w:pStyle w:val="ListParagraph"/>
        <w:numPr>
          <w:ilvl w:val="0"/>
          <w:numId w:val="1"/>
        </w:numPr>
        <w:spacing w:line="240" w:lineRule="auto"/>
        <w:ind w:left="567" w:right="106" w:hanging="567"/>
        <w:jc w:val="both"/>
        <w:rPr>
          <w:rFonts w:ascii="Times New Roman" w:hAnsi="Times New Roman" w:cs="Times New Roman"/>
          <w:sz w:val="24"/>
          <w:szCs w:val="24"/>
        </w:rPr>
      </w:pPr>
      <w:r>
        <w:rPr>
          <w:rFonts w:ascii="Times New Roman" w:hAnsi="Times New Roman" w:cs="Times New Roman"/>
          <w:sz w:val="24"/>
          <w:szCs w:val="24"/>
        </w:rPr>
        <w:t>This is my judgment in case number K01LS</w:t>
      </w:r>
      <w:r w:rsidR="00E71F3A">
        <w:rPr>
          <w:rFonts w:ascii="Times New Roman" w:hAnsi="Times New Roman" w:cs="Times New Roman"/>
          <w:sz w:val="24"/>
          <w:szCs w:val="24"/>
        </w:rPr>
        <w:t>511 on an application made by the defendant dated 26 September 2023</w:t>
      </w:r>
      <w:r w:rsidR="005C474F">
        <w:rPr>
          <w:rFonts w:ascii="Times New Roman" w:hAnsi="Times New Roman" w:cs="Times New Roman"/>
          <w:sz w:val="24"/>
          <w:szCs w:val="24"/>
        </w:rPr>
        <w:t xml:space="preserve"> which asks the Court to decline to accept to exercise jurisdiction which it </w:t>
      </w:r>
      <w:r w:rsidR="00D771E5">
        <w:rPr>
          <w:rFonts w:ascii="Times New Roman" w:hAnsi="Times New Roman" w:cs="Times New Roman"/>
          <w:sz w:val="24"/>
          <w:szCs w:val="24"/>
        </w:rPr>
        <w:t>undoubtedly has</w:t>
      </w:r>
      <w:r w:rsidR="009573A4">
        <w:rPr>
          <w:rFonts w:ascii="Times New Roman" w:hAnsi="Times New Roman" w:cs="Times New Roman"/>
          <w:sz w:val="24"/>
          <w:szCs w:val="24"/>
        </w:rPr>
        <w:t>,</w:t>
      </w:r>
      <w:r w:rsidR="00D771E5">
        <w:rPr>
          <w:rFonts w:ascii="Times New Roman" w:hAnsi="Times New Roman" w:cs="Times New Roman"/>
          <w:sz w:val="24"/>
          <w:szCs w:val="24"/>
        </w:rPr>
        <w:t xml:space="preserve"> to hear a claim by Mr Doug Paulley against the defendant</w:t>
      </w:r>
      <w:r w:rsidR="00A957C7">
        <w:rPr>
          <w:rFonts w:ascii="Times New Roman" w:hAnsi="Times New Roman" w:cs="Times New Roman"/>
          <w:sz w:val="24"/>
          <w:szCs w:val="24"/>
        </w:rPr>
        <w:t>,</w:t>
      </w:r>
      <w:r w:rsidR="00D771E5">
        <w:rPr>
          <w:rFonts w:ascii="Times New Roman" w:hAnsi="Times New Roman" w:cs="Times New Roman"/>
          <w:sz w:val="24"/>
          <w:szCs w:val="24"/>
        </w:rPr>
        <w:t xml:space="preserve"> Radisson Hotel Edinburgh Limited</w:t>
      </w:r>
      <w:r w:rsidR="00AE15E0">
        <w:rPr>
          <w:rFonts w:ascii="Times New Roman" w:hAnsi="Times New Roman" w:cs="Times New Roman"/>
          <w:sz w:val="24"/>
          <w:szCs w:val="24"/>
        </w:rPr>
        <w:t xml:space="preserve"> in relation to the non-availability of a wheelchair lift at the defendant</w:t>
      </w:r>
      <w:r w:rsidR="007A2FD1">
        <w:rPr>
          <w:rFonts w:ascii="Times New Roman" w:hAnsi="Times New Roman" w:cs="Times New Roman"/>
          <w:sz w:val="24"/>
          <w:szCs w:val="24"/>
        </w:rPr>
        <w:t xml:space="preserve">’s Edinburgh premises.  That claim is brought under the Equality Act 2010 under various heads. </w:t>
      </w:r>
    </w:p>
    <w:p w14:paraId="0CBEBC85" w14:textId="448A870C" w:rsidR="00824A52" w:rsidRPr="006C15C8" w:rsidRDefault="007A2FD1" w:rsidP="002736AC">
      <w:pPr>
        <w:pStyle w:val="ListParagraph"/>
        <w:numPr>
          <w:ilvl w:val="0"/>
          <w:numId w:val="1"/>
        </w:numPr>
        <w:spacing w:line="240" w:lineRule="auto"/>
        <w:ind w:left="567" w:right="106" w:hanging="567"/>
        <w:jc w:val="both"/>
        <w:rPr>
          <w:rFonts w:ascii="Times New Roman" w:hAnsi="Times New Roman" w:cs="Times New Roman"/>
          <w:sz w:val="24"/>
          <w:szCs w:val="24"/>
        </w:rPr>
      </w:pPr>
      <w:r>
        <w:rPr>
          <w:rFonts w:ascii="Times New Roman" w:hAnsi="Times New Roman" w:cs="Times New Roman"/>
          <w:sz w:val="24"/>
          <w:szCs w:val="24"/>
        </w:rPr>
        <w:t xml:space="preserve">Mr Paulley lives in </w:t>
      </w:r>
      <w:r w:rsidR="0057133A">
        <w:rPr>
          <w:rFonts w:ascii="Times New Roman" w:hAnsi="Times New Roman" w:cs="Times New Roman"/>
          <w:sz w:val="24"/>
          <w:szCs w:val="24"/>
        </w:rPr>
        <w:t>Wetherby in West Yorkshire.  For the purposes of section 42 of the Civil Jurisdiction and Judgments Act 1982, although</w:t>
      </w:r>
      <w:r w:rsidR="00BA51E4">
        <w:rPr>
          <w:rFonts w:ascii="Times New Roman" w:hAnsi="Times New Roman" w:cs="Times New Roman"/>
          <w:sz w:val="24"/>
          <w:szCs w:val="24"/>
        </w:rPr>
        <w:t xml:space="preserve"> the defendant operates an Edinburgh hotel, it is common ground that it is headquartered in Manchester and, therefore, for all relevant purposes</w:t>
      </w:r>
      <w:r w:rsidR="005900D1">
        <w:rPr>
          <w:rFonts w:ascii="Times New Roman" w:hAnsi="Times New Roman" w:cs="Times New Roman"/>
          <w:sz w:val="24"/>
          <w:szCs w:val="24"/>
        </w:rPr>
        <w:t>,</w:t>
      </w:r>
      <w:r w:rsidR="00BA51E4">
        <w:rPr>
          <w:rFonts w:ascii="Times New Roman" w:hAnsi="Times New Roman" w:cs="Times New Roman"/>
          <w:sz w:val="24"/>
          <w:szCs w:val="24"/>
        </w:rPr>
        <w:t xml:space="preserve"> is domiciled in England and Wales.  Mr Paulley issued a claim seeking damages for injury to feelings, declaratory</w:t>
      </w:r>
      <w:r w:rsidR="00824A52">
        <w:rPr>
          <w:rFonts w:ascii="Times New Roman" w:hAnsi="Times New Roman" w:cs="Times New Roman"/>
          <w:sz w:val="24"/>
          <w:szCs w:val="24"/>
        </w:rPr>
        <w:t xml:space="preserve"> relief and injunctive relief in relation to the matters that I have described which resulted in the defendant filing an acknowledgement of service on 13 September 2023 indicating that it wished to defend the whole claim and contest the Court’s jurisdiction.  That is exactly as it had to do under Rule 11.1 in circumstances where, as it does, it seeks to say that the Court has jurisdiction but should not exercise it.</w:t>
      </w:r>
      <w:r w:rsidR="00E430EA">
        <w:rPr>
          <w:rFonts w:ascii="Times New Roman" w:hAnsi="Times New Roman" w:cs="Times New Roman"/>
          <w:sz w:val="24"/>
          <w:szCs w:val="24"/>
        </w:rPr>
        <w:t xml:space="preserve">  </w:t>
      </w:r>
      <w:r w:rsidR="00824A52" w:rsidRPr="006C15C8">
        <w:rPr>
          <w:rFonts w:ascii="Times New Roman" w:hAnsi="Times New Roman" w:cs="Times New Roman"/>
          <w:sz w:val="24"/>
          <w:szCs w:val="24"/>
        </w:rPr>
        <w:t>Also, in accordance with Rule 11.1(</w:t>
      </w:r>
      <w:r w:rsidR="00E430EA" w:rsidRPr="006C15C8">
        <w:rPr>
          <w:rFonts w:ascii="Times New Roman" w:hAnsi="Times New Roman" w:cs="Times New Roman"/>
          <w:sz w:val="24"/>
          <w:szCs w:val="24"/>
        </w:rPr>
        <w:t>3) and (4), it duly issued its application to contest jurisdiction on 26 September 2023 or, at the very least, presented it for issue at</w:t>
      </w:r>
      <w:r w:rsidR="005900D1">
        <w:rPr>
          <w:rFonts w:ascii="Times New Roman" w:hAnsi="Times New Roman" w:cs="Times New Roman"/>
          <w:sz w:val="24"/>
          <w:szCs w:val="24"/>
        </w:rPr>
        <w:t xml:space="preserve"> the</w:t>
      </w:r>
      <w:r w:rsidR="00E430EA" w:rsidRPr="006C15C8">
        <w:rPr>
          <w:rFonts w:ascii="Times New Roman" w:hAnsi="Times New Roman" w:cs="Times New Roman"/>
          <w:sz w:val="24"/>
          <w:szCs w:val="24"/>
        </w:rPr>
        <w:t xml:space="preserve"> court.</w:t>
      </w:r>
    </w:p>
    <w:p w14:paraId="58A1926E" w14:textId="700A4873" w:rsidR="00E430EA" w:rsidRDefault="00E430EA" w:rsidP="002736AC">
      <w:pPr>
        <w:pStyle w:val="ListParagraph"/>
        <w:numPr>
          <w:ilvl w:val="0"/>
          <w:numId w:val="1"/>
        </w:numPr>
        <w:spacing w:line="240" w:lineRule="auto"/>
        <w:ind w:left="567" w:right="106" w:hanging="567"/>
        <w:jc w:val="both"/>
        <w:rPr>
          <w:rFonts w:ascii="Times New Roman" w:hAnsi="Times New Roman" w:cs="Times New Roman"/>
          <w:sz w:val="24"/>
          <w:szCs w:val="24"/>
        </w:rPr>
      </w:pPr>
      <w:r>
        <w:rPr>
          <w:rFonts w:ascii="Times New Roman" w:hAnsi="Times New Roman" w:cs="Times New Roman"/>
          <w:sz w:val="24"/>
          <w:szCs w:val="24"/>
        </w:rPr>
        <w:t>For reasons which I will explain very shortly, it is common ground, and I agree with Mr Quickfall and the parties</w:t>
      </w:r>
      <w:r w:rsidR="005900D1">
        <w:rPr>
          <w:rFonts w:ascii="Times New Roman" w:hAnsi="Times New Roman" w:cs="Times New Roman"/>
          <w:sz w:val="24"/>
          <w:szCs w:val="24"/>
        </w:rPr>
        <w:t>,</w:t>
      </w:r>
      <w:r>
        <w:rPr>
          <w:rFonts w:ascii="Times New Roman" w:hAnsi="Times New Roman" w:cs="Times New Roman"/>
          <w:sz w:val="24"/>
          <w:szCs w:val="24"/>
        </w:rPr>
        <w:t xml:space="preserve"> that the Court has jurisdiction to deal with this claim.  The question is whether it should decline to exercise it.  To that end, the application notice seeks a declaration that the County Court, at </w:t>
      </w:r>
      <w:r w:rsidR="00942FFF">
        <w:rPr>
          <w:rFonts w:ascii="Times New Roman" w:hAnsi="Times New Roman" w:cs="Times New Roman"/>
          <w:sz w:val="24"/>
          <w:szCs w:val="24"/>
        </w:rPr>
        <w:t>Leeds</w:t>
      </w:r>
      <w:r>
        <w:rPr>
          <w:rFonts w:ascii="Times New Roman" w:hAnsi="Times New Roman" w:cs="Times New Roman"/>
          <w:sz w:val="24"/>
          <w:szCs w:val="24"/>
        </w:rPr>
        <w:t xml:space="preserve">, should not exercise its jurisdiction and </w:t>
      </w:r>
      <w:r w:rsidR="004B2A67">
        <w:rPr>
          <w:rFonts w:ascii="Times New Roman" w:hAnsi="Times New Roman" w:cs="Times New Roman"/>
          <w:sz w:val="24"/>
          <w:szCs w:val="24"/>
        </w:rPr>
        <w:t xml:space="preserve">an </w:t>
      </w:r>
      <w:r>
        <w:rPr>
          <w:rFonts w:ascii="Times New Roman" w:hAnsi="Times New Roman" w:cs="Times New Roman"/>
          <w:sz w:val="24"/>
          <w:szCs w:val="24"/>
        </w:rPr>
        <w:t xml:space="preserve">order setting aside the claim form and </w:t>
      </w:r>
      <w:r w:rsidR="00807D69">
        <w:rPr>
          <w:rFonts w:ascii="Times New Roman" w:hAnsi="Times New Roman" w:cs="Times New Roman"/>
          <w:sz w:val="24"/>
          <w:szCs w:val="24"/>
        </w:rPr>
        <w:t xml:space="preserve">the particulars of claim and an order dismissing the claim.  The defendant’s overarching point is that the appropriate form of the claim is the Edinburgh Sheriff Court.  </w:t>
      </w:r>
    </w:p>
    <w:p w14:paraId="0C4071F8" w14:textId="77777777" w:rsidR="00D53598" w:rsidRDefault="00807D69" w:rsidP="002736AC">
      <w:pPr>
        <w:pStyle w:val="ListParagraph"/>
        <w:numPr>
          <w:ilvl w:val="0"/>
          <w:numId w:val="1"/>
        </w:numPr>
        <w:spacing w:line="240" w:lineRule="auto"/>
        <w:ind w:left="567" w:right="106" w:hanging="567"/>
        <w:jc w:val="both"/>
        <w:rPr>
          <w:rFonts w:ascii="Times New Roman" w:hAnsi="Times New Roman" w:cs="Times New Roman"/>
          <w:sz w:val="24"/>
          <w:szCs w:val="24"/>
        </w:rPr>
      </w:pPr>
      <w:r>
        <w:rPr>
          <w:rFonts w:ascii="Times New Roman" w:hAnsi="Times New Roman" w:cs="Times New Roman"/>
          <w:sz w:val="24"/>
          <w:szCs w:val="24"/>
        </w:rPr>
        <w:t>It can very easily and quickly be seen that this Court does have jurisdiction.  That arises from section 114 of the Equality Act 2010.  Subsection (1) provides t</w:t>
      </w:r>
      <w:r w:rsidR="00FE318C">
        <w:rPr>
          <w:rFonts w:ascii="Times New Roman" w:hAnsi="Times New Roman" w:cs="Times New Roman"/>
          <w:sz w:val="24"/>
          <w:szCs w:val="24"/>
        </w:rPr>
        <w:t>hat</w:t>
      </w:r>
      <w:r w:rsidR="00D53598">
        <w:rPr>
          <w:rFonts w:ascii="Times New Roman" w:hAnsi="Times New Roman" w:cs="Times New Roman"/>
          <w:sz w:val="24"/>
          <w:szCs w:val="24"/>
        </w:rPr>
        <w:t>:</w:t>
      </w:r>
    </w:p>
    <w:p w14:paraId="6E63A6A6" w14:textId="77777777" w:rsidR="00545444" w:rsidRDefault="00FE318C" w:rsidP="002736AC">
      <w:pPr>
        <w:pStyle w:val="ListParagraph"/>
        <w:spacing w:line="240" w:lineRule="auto"/>
        <w:ind w:left="2268" w:right="533"/>
        <w:jc w:val="both"/>
        <w:rPr>
          <w:rFonts w:ascii="Times New Roman" w:hAnsi="Times New Roman" w:cs="Times New Roman"/>
          <w:sz w:val="24"/>
          <w:szCs w:val="24"/>
        </w:rPr>
      </w:pPr>
      <w:r>
        <w:rPr>
          <w:rFonts w:ascii="Times New Roman" w:hAnsi="Times New Roman" w:cs="Times New Roman"/>
          <w:sz w:val="24"/>
          <w:szCs w:val="24"/>
        </w:rPr>
        <w:t>“The County Court, or, in Scotland, the S</w:t>
      </w:r>
      <w:r w:rsidR="00D53598">
        <w:rPr>
          <w:rFonts w:ascii="Times New Roman" w:hAnsi="Times New Roman" w:cs="Times New Roman"/>
          <w:sz w:val="24"/>
          <w:szCs w:val="24"/>
        </w:rPr>
        <w:t>heriff has jurisdiction to determine a claim relating to</w:t>
      </w:r>
      <w:r w:rsidR="00545444">
        <w:rPr>
          <w:rFonts w:ascii="Times New Roman" w:hAnsi="Times New Roman" w:cs="Times New Roman"/>
          <w:sz w:val="24"/>
          <w:szCs w:val="24"/>
        </w:rPr>
        <w:t>:</w:t>
      </w:r>
    </w:p>
    <w:p w14:paraId="776CCF12" w14:textId="4D30B727" w:rsidR="00807D69" w:rsidRDefault="00D53598" w:rsidP="002736AC">
      <w:pPr>
        <w:pStyle w:val="ListParagraph"/>
        <w:numPr>
          <w:ilvl w:val="0"/>
          <w:numId w:val="2"/>
        </w:numPr>
        <w:spacing w:line="240" w:lineRule="auto"/>
        <w:ind w:right="533"/>
        <w:jc w:val="both"/>
        <w:rPr>
          <w:rFonts w:ascii="Times New Roman" w:hAnsi="Times New Roman" w:cs="Times New Roman"/>
          <w:sz w:val="24"/>
          <w:szCs w:val="24"/>
        </w:rPr>
      </w:pPr>
      <w:r>
        <w:rPr>
          <w:rFonts w:ascii="Times New Roman" w:hAnsi="Times New Roman" w:cs="Times New Roman"/>
          <w:sz w:val="24"/>
          <w:szCs w:val="24"/>
        </w:rPr>
        <w:t>a</w:t>
      </w:r>
      <w:r w:rsidR="00545444">
        <w:rPr>
          <w:rFonts w:ascii="Times New Roman" w:hAnsi="Times New Roman" w:cs="Times New Roman"/>
          <w:sz w:val="24"/>
          <w:szCs w:val="24"/>
        </w:rPr>
        <w:t xml:space="preserve"> contravention of </w:t>
      </w:r>
      <w:r w:rsidR="00A37601">
        <w:rPr>
          <w:rFonts w:ascii="Times New Roman" w:hAnsi="Times New Roman" w:cs="Times New Roman"/>
          <w:sz w:val="24"/>
          <w:szCs w:val="24"/>
        </w:rPr>
        <w:t>Part 3 (</w:t>
      </w:r>
      <w:r w:rsidR="00642B04">
        <w:rPr>
          <w:rFonts w:ascii="Times New Roman" w:hAnsi="Times New Roman" w:cs="Times New Roman"/>
          <w:sz w:val="24"/>
          <w:szCs w:val="24"/>
        </w:rPr>
        <w:t>services and public functions);</w:t>
      </w:r>
    </w:p>
    <w:p w14:paraId="05850454" w14:textId="05BEC301" w:rsidR="00642B04" w:rsidRDefault="00642B04" w:rsidP="002736AC">
      <w:pPr>
        <w:pStyle w:val="ListParagraph"/>
        <w:numPr>
          <w:ilvl w:val="0"/>
          <w:numId w:val="2"/>
        </w:numPr>
        <w:spacing w:after="200" w:line="240" w:lineRule="auto"/>
        <w:ind w:left="2625" w:right="533" w:hanging="357"/>
        <w:contextualSpacing w:val="0"/>
        <w:jc w:val="both"/>
        <w:rPr>
          <w:rFonts w:ascii="Times New Roman" w:hAnsi="Times New Roman" w:cs="Times New Roman"/>
          <w:sz w:val="24"/>
          <w:szCs w:val="24"/>
        </w:rPr>
      </w:pPr>
      <w:r>
        <w:rPr>
          <w:rFonts w:ascii="Times New Roman" w:hAnsi="Times New Roman" w:cs="Times New Roman"/>
          <w:sz w:val="24"/>
          <w:szCs w:val="24"/>
        </w:rPr>
        <w:t>a contravention of Part 4 (premises)</w:t>
      </w:r>
      <w:r w:rsidR="004F0A5E">
        <w:rPr>
          <w:rFonts w:ascii="Times New Roman" w:hAnsi="Times New Roman" w:cs="Times New Roman"/>
          <w:sz w:val="24"/>
          <w:szCs w:val="24"/>
        </w:rPr>
        <w:t>”.</w:t>
      </w:r>
    </w:p>
    <w:p w14:paraId="68D1D405" w14:textId="1EC2F4B9" w:rsidR="008245C6" w:rsidRDefault="004F0A5E" w:rsidP="002736AC">
      <w:pPr>
        <w:pStyle w:val="ListParagraph"/>
        <w:spacing w:line="240" w:lineRule="auto"/>
        <w:ind w:left="567" w:right="106"/>
        <w:jc w:val="both"/>
        <w:rPr>
          <w:rFonts w:ascii="Times New Roman" w:hAnsi="Times New Roman" w:cs="Times New Roman"/>
          <w:sz w:val="24"/>
          <w:szCs w:val="24"/>
        </w:rPr>
      </w:pPr>
      <w:r>
        <w:rPr>
          <w:rFonts w:ascii="Times New Roman" w:hAnsi="Times New Roman" w:cs="Times New Roman"/>
          <w:sz w:val="24"/>
          <w:szCs w:val="24"/>
        </w:rPr>
        <w:t>“Premises”, it seems to me, is likely to be the most appropriate categorisation here but I need express no final view.</w:t>
      </w:r>
    </w:p>
    <w:p w14:paraId="073F1C7A" w14:textId="4C7C7927" w:rsidR="004F0A5E" w:rsidRDefault="008245C6" w:rsidP="002736AC">
      <w:pPr>
        <w:pStyle w:val="ListParagraph"/>
        <w:numPr>
          <w:ilvl w:val="0"/>
          <w:numId w:val="1"/>
        </w:numPr>
        <w:spacing w:line="240" w:lineRule="auto"/>
        <w:ind w:left="567" w:right="106" w:hanging="567"/>
        <w:jc w:val="both"/>
        <w:rPr>
          <w:rFonts w:ascii="Times New Roman" w:hAnsi="Times New Roman" w:cs="Times New Roman"/>
          <w:sz w:val="24"/>
          <w:szCs w:val="24"/>
        </w:rPr>
      </w:pPr>
      <w:r>
        <w:rPr>
          <w:rFonts w:ascii="Times New Roman" w:hAnsi="Times New Roman" w:cs="Times New Roman"/>
          <w:sz w:val="24"/>
          <w:szCs w:val="24"/>
        </w:rPr>
        <w:t>Section 16 of the 1982 Act to which I have referred</w:t>
      </w:r>
      <w:r w:rsidR="00417215">
        <w:rPr>
          <w:rFonts w:ascii="Times New Roman" w:hAnsi="Times New Roman" w:cs="Times New Roman"/>
          <w:sz w:val="24"/>
          <w:szCs w:val="24"/>
        </w:rPr>
        <w:t>,</w:t>
      </w:r>
      <w:r>
        <w:rPr>
          <w:rFonts w:ascii="Times New Roman" w:hAnsi="Times New Roman" w:cs="Times New Roman"/>
          <w:sz w:val="24"/>
          <w:szCs w:val="24"/>
        </w:rPr>
        <w:t xml:space="preserve"> is geared at determination</w:t>
      </w:r>
      <w:r w:rsidR="0070546C">
        <w:rPr>
          <w:rFonts w:ascii="Times New Roman" w:hAnsi="Times New Roman" w:cs="Times New Roman"/>
          <w:sz w:val="24"/>
          <w:szCs w:val="24"/>
        </w:rPr>
        <w:t xml:space="preserve"> of</w:t>
      </w:r>
      <w:r>
        <w:rPr>
          <w:rFonts w:ascii="Times New Roman" w:hAnsi="Times New Roman" w:cs="Times New Roman"/>
          <w:sz w:val="24"/>
          <w:szCs w:val="24"/>
        </w:rPr>
        <w:t xml:space="preserve"> where jurisdiction lies as between England and Wales</w:t>
      </w:r>
      <w:r w:rsidR="00D81934">
        <w:rPr>
          <w:rFonts w:ascii="Times New Roman" w:hAnsi="Times New Roman" w:cs="Times New Roman"/>
          <w:sz w:val="24"/>
          <w:szCs w:val="24"/>
        </w:rPr>
        <w:t xml:space="preserve">, on the one hand, and Scotland, on the other and it does so by reference to Schedule </w:t>
      </w:r>
      <w:r w:rsidR="00BD3A4E">
        <w:rPr>
          <w:rFonts w:ascii="Times New Roman" w:hAnsi="Times New Roman" w:cs="Times New Roman"/>
          <w:sz w:val="24"/>
          <w:szCs w:val="24"/>
        </w:rPr>
        <w:t xml:space="preserve">4.  </w:t>
      </w:r>
      <w:r w:rsidR="003E45BD">
        <w:rPr>
          <w:rFonts w:ascii="Times New Roman" w:hAnsi="Times New Roman" w:cs="Times New Roman"/>
          <w:sz w:val="24"/>
          <w:szCs w:val="24"/>
        </w:rPr>
        <w:t>Paragraph one of Schedule 4 provides that</w:t>
      </w:r>
      <w:r w:rsidR="002B5CFA">
        <w:rPr>
          <w:rFonts w:ascii="Times New Roman" w:hAnsi="Times New Roman" w:cs="Times New Roman"/>
          <w:sz w:val="24"/>
          <w:szCs w:val="24"/>
        </w:rPr>
        <w:t>:</w:t>
      </w:r>
    </w:p>
    <w:p w14:paraId="0BCE2CFC" w14:textId="3017E9A5" w:rsidR="002B5CFA" w:rsidRDefault="00191A03" w:rsidP="002736AC">
      <w:pPr>
        <w:pStyle w:val="ListParagraph"/>
        <w:spacing w:after="200" w:line="240" w:lineRule="auto"/>
        <w:ind w:left="2268" w:right="533"/>
        <w:contextualSpacing w:val="0"/>
        <w:jc w:val="both"/>
        <w:rPr>
          <w:rFonts w:ascii="Times New Roman" w:hAnsi="Times New Roman" w:cs="Times New Roman"/>
          <w:sz w:val="24"/>
          <w:szCs w:val="24"/>
        </w:rPr>
      </w:pPr>
      <w:r>
        <w:rPr>
          <w:rFonts w:ascii="Times New Roman" w:hAnsi="Times New Roman" w:cs="Times New Roman"/>
          <w:sz w:val="24"/>
          <w:szCs w:val="24"/>
        </w:rPr>
        <w:t>“</w:t>
      </w:r>
      <w:r w:rsidR="00FF789F">
        <w:rPr>
          <w:rFonts w:ascii="Times New Roman" w:hAnsi="Times New Roman" w:cs="Times New Roman"/>
          <w:sz w:val="24"/>
          <w:szCs w:val="24"/>
        </w:rPr>
        <w:t xml:space="preserve">Subject to the rules of this Schedule, persons domiciled in </w:t>
      </w:r>
      <w:r w:rsidR="00C717BE">
        <w:rPr>
          <w:rFonts w:ascii="Times New Roman" w:hAnsi="Times New Roman" w:cs="Times New Roman"/>
          <w:sz w:val="24"/>
          <w:szCs w:val="24"/>
        </w:rPr>
        <w:t xml:space="preserve">a part of the United Kingdom shall be sued in the </w:t>
      </w:r>
      <w:r w:rsidR="00B9313C">
        <w:rPr>
          <w:rFonts w:ascii="Times New Roman" w:hAnsi="Times New Roman" w:cs="Times New Roman"/>
          <w:sz w:val="24"/>
          <w:szCs w:val="24"/>
        </w:rPr>
        <w:t>courts of that part”.</w:t>
      </w:r>
    </w:p>
    <w:p w14:paraId="546A049E" w14:textId="74A17BD6" w:rsidR="002B5CFA" w:rsidRDefault="00B9313C" w:rsidP="002736AC">
      <w:pPr>
        <w:pStyle w:val="ListParagraph"/>
        <w:spacing w:line="240" w:lineRule="auto"/>
        <w:ind w:left="567" w:right="106"/>
        <w:jc w:val="both"/>
        <w:rPr>
          <w:rFonts w:ascii="Times New Roman" w:hAnsi="Times New Roman" w:cs="Times New Roman"/>
          <w:sz w:val="24"/>
          <w:szCs w:val="24"/>
        </w:rPr>
      </w:pPr>
      <w:r>
        <w:rPr>
          <w:rFonts w:ascii="Times New Roman" w:hAnsi="Times New Roman" w:cs="Times New Roman"/>
          <w:sz w:val="24"/>
          <w:szCs w:val="24"/>
        </w:rPr>
        <w:t>As I have explained, for the purposes of the 1982 Act, the defendant is domiciled in England and Wales and, so, paragraph one of Schedule 4 makes sure that they should be sued in England and Wales.  I pause, there, to say that is exactly what Mr Paulley has done.</w:t>
      </w:r>
    </w:p>
    <w:p w14:paraId="64A3EAFD" w14:textId="470A874F" w:rsidR="00B9313C" w:rsidRDefault="00B9313C" w:rsidP="002736AC">
      <w:pPr>
        <w:pStyle w:val="ListParagraph"/>
        <w:numPr>
          <w:ilvl w:val="0"/>
          <w:numId w:val="1"/>
        </w:numPr>
        <w:spacing w:line="240" w:lineRule="auto"/>
        <w:ind w:left="567" w:right="106" w:hanging="567"/>
        <w:jc w:val="both"/>
        <w:rPr>
          <w:rFonts w:ascii="Times New Roman" w:hAnsi="Times New Roman" w:cs="Times New Roman"/>
          <w:sz w:val="24"/>
          <w:szCs w:val="24"/>
        </w:rPr>
      </w:pPr>
      <w:r>
        <w:rPr>
          <w:rFonts w:ascii="Times New Roman" w:hAnsi="Times New Roman" w:cs="Times New Roman"/>
          <w:sz w:val="24"/>
          <w:szCs w:val="24"/>
        </w:rPr>
        <w:t>However, Schedule 4 goes on at paragraph three, read in conjunction with paragraph two to provide that:</w:t>
      </w:r>
    </w:p>
    <w:p w14:paraId="67AA656F" w14:textId="77777777" w:rsidR="00FF2605" w:rsidRDefault="00F01011" w:rsidP="002736AC">
      <w:pPr>
        <w:pStyle w:val="ListParagraph"/>
        <w:spacing w:after="200" w:line="240" w:lineRule="auto"/>
        <w:ind w:left="2268" w:right="533"/>
        <w:jc w:val="both"/>
        <w:rPr>
          <w:rFonts w:ascii="Times New Roman" w:hAnsi="Times New Roman" w:cs="Times New Roman"/>
          <w:sz w:val="24"/>
          <w:szCs w:val="24"/>
        </w:rPr>
      </w:pPr>
      <w:r>
        <w:rPr>
          <w:rFonts w:ascii="Times New Roman" w:hAnsi="Times New Roman" w:cs="Times New Roman"/>
          <w:sz w:val="24"/>
          <w:szCs w:val="24"/>
        </w:rPr>
        <w:t>“A person domiciled in a part of the</w:t>
      </w:r>
      <w:r w:rsidR="007C05BA">
        <w:rPr>
          <w:rFonts w:ascii="Times New Roman" w:hAnsi="Times New Roman" w:cs="Times New Roman"/>
          <w:sz w:val="24"/>
          <w:szCs w:val="24"/>
        </w:rPr>
        <w:t xml:space="preserve"> United Kingdom </w:t>
      </w:r>
      <w:r w:rsidR="00BA66A8">
        <w:rPr>
          <w:rFonts w:ascii="Times New Roman" w:hAnsi="Times New Roman" w:cs="Times New Roman"/>
          <w:sz w:val="24"/>
          <w:szCs w:val="24"/>
        </w:rPr>
        <w:t>may, in another part of the United Kingdom be sued</w:t>
      </w:r>
      <w:r w:rsidR="00FF2605">
        <w:rPr>
          <w:rFonts w:ascii="Times New Roman" w:hAnsi="Times New Roman" w:cs="Times New Roman"/>
          <w:sz w:val="24"/>
          <w:szCs w:val="24"/>
        </w:rPr>
        <w:t>:</w:t>
      </w:r>
    </w:p>
    <w:p w14:paraId="2A610359" w14:textId="071D7002" w:rsidR="002E2005" w:rsidRDefault="002E2005" w:rsidP="002736AC">
      <w:pPr>
        <w:pStyle w:val="ListParagraph"/>
        <w:spacing w:after="200" w:line="240" w:lineRule="auto"/>
        <w:ind w:left="2268" w:right="533"/>
        <w:jc w:val="both"/>
        <w:rPr>
          <w:rFonts w:ascii="Times New Roman" w:hAnsi="Times New Roman" w:cs="Times New Roman"/>
          <w:sz w:val="24"/>
          <w:szCs w:val="24"/>
        </w:rPr>
      </w:pPr>
      <w:r>
        <w:rPr>
          <w:rFonts w:ascii="Times New Roman" w:hAnsi="Times New Roman" w:cs="Times New Roman"/>
          <w:sz w:val="24"/>
          <w:szCs w:val="24"/>
        </w:rPr>
        <w:t>…</w:t>
      </w:r>
    </w:p>
    <w:p w14:paraId="4BD72EB3" w14:textId="0E08A52A" w:rsidR="001E1247" w:rsidRDefault="00FF2605" w:rsidP="002736AC">
      <w:pPr>
        <w:pStyle w:val="ListParagraph"/>
        <w:numPr>
          <w:ilvl w:val="0"/>
          <w:numId w:val="2"/>
        </w:numPr>
        <w:spacing w:after="200" w:line="240" w:lineRule="auto"/>
        <w:ind w:right="533"/>
        <w:jc w:val="both"/>
        <w:rPr>
          <w:rFonts w:ascii="Times New Roman" w:hAnsi="Times New Roman" w:cs="Times New Roman"/>
          <w:sz w:val="24"/>
          <w:szCs w:val="24"/>
        </w:rPr>
      </w:pPr>
      <w:r w:rsidRPr="006C15C8">
        <w:rPr>
          <w:rFonts w:ascii="Times New Roman" w:hAnsi="Times New Roman" w:cs="Times New Roman"/>
          <w:sz w:val="24"/>
          <w:szCs w:val="24"/>
        </w:rPr>
        <w:lastRenderedPageBreak/>
        <w:t>in matters</w:t>
      </w:r>
      <w:r w:rsidR="005518FB">
        <w:rPr>
          <w:rFonts w:ascii="Times New Roman" w:hAnsi="Times New Roman" w:cs="Times New Roman"/>
          <w:sz w:val="24"/>
          <w:szCs w:val="24"/>
        </w:rPr>
        <w:t xml:space="preserve"> of tort, delict or quasi-delict in accordance with the place where the harmful event occurred or may occur</w:t>
      </w:r>
      <w:r w:rsidR="002975DE">
        <w:rPr>
          <w:rFonts w:ascii="Times New Roman" w:hAnsi="Times New Roman" w:cs="Times New Roman"/>
          <w:sz w:val="24"/>
          <w:szCs w:val="24"/>
        </w:rPr>
        <w:t>…</w:t>
      </w:r>
    </w:p>
    <w:p w14:paraId="5CC8B03B" w14:textId="101BC594" w:rsidR="002975DE" w:rsidRPr="006C15C8" w:rsidRDefault="00F8381C" w:rsidP="002736AC">
      <w:pPr>
        <w:pStyle w:val="ListParagraph"/>
        <w:numPr>
          <w:ilvl w:val="0"/>
          <w:numId w:val="4"/>
        </w:numPr>
        <w:spacing w:after="200" w:line="240" w:lineRule="auto"/>
        <w:ind w:left="2625" w:right="533" w:hanging="357"/>
        <w:contextualSpacing w:val="0"/>
        <w:jc w:val="both"/>
        <w:rPr>
          <w:rFonts w:ascii="Times New Roman" w:hAnsi="Times New Roman" w:cs="Times New Roman"/>
          <w:sz w:val="24"/>
          <w:szCs w:val="24"/>
        </w:rPr>
      </w:pPr>
      <w:r>
        <w:rPr>
          <w:rFonts w:ascii="Times New Roman" w:hAnsi="Times New Roman" w:cs="Times New Roman"/>
          <w:sz w:val="24"/>
          <w:szCs w:val="24"/>
        </w:rPr>
        <w:t>as regards a dispute arising out of the operations of a branch, agency or other establishment, in the</w:t>
      </w:r>
      <w:r w:rsidR="00A263E2">
        <w:rPr>
          <w:rFonts w:ascii="Times New Roman" w:hAnsi="Times New Roman" w:cs="Times New Roman"/>
          <w:sz w:val="24"/>
          <w:szCs w:val="24"/>
        </w:rPr>
        <w:t xml:space="preserve"> courts for </w:t>
      </w:r>
      <w:r w:rsidR="008D6084">
        <w:rPr>
          <w:rFonts w:ascii="Times New Roman" w:hAnsi="Times New Roman" w:cs="Times New Roman"/>
          <w:sz w:val="24"/>
          <w:szCs w:val="24"/>
        </w:rPr>
        <w:t xml:space="preserve">the place in </w:t>
      </w:r>
      <w:r w:rsidR="00A263E2">
        <w:rPr>
          <w:rFonts w:ascii="Times New Roman" w:hAnsi="Times New Roman" w:cs="Times New Roman"/>
          <w:sz w:val="24"/>
          <w:szCs w:val="24"/>
        </w:rPr>
        <w:t>which the branch, agency or other establishment is situated”.</w:t>
      </w:r>
    </w:p>
    <w:p w14:paraId="2C4777BD" w14:textId="354B0A83" w:rsidR="00B9313C" w:rsidRDefault="00A263E2" w:rsidP="002736AC">
      <w:pPr>
        <w:pStyle w:val="ListParagraph"/>
        <w:spacing w:line="240" w:lineRule="auto"/>
        <w:ind w:left="567" w:right="106"/>
        <w:jc w:val="both"/>
        <w:rPr>
          <w:rFonts w:ascii="Times New Roman" w:hAnsi="Times New Roman" w:cs="Times New Roman"/>
          <w:sz w:val="24"/>
          <w:szCs w:val="24"/>
        </w:rPr>
      </w:pPr>
      <w:r>
        <w:rPr>
          <w:rFonts w:ascii="Times New Roman" w:hAnsi="Times New Roman" w:cs="Times New Roman"/>
          <w:sz w:val="24"/>
          <w:szCs w:val="24"/>
        </w:rPr>
        <w:t xml:space="preserve">Since the events in question occurred in Edinburgh, that paragraph provides, effectively, permission for Mr Paulley to sue this defendant in the Edinburgh </w:t>
      </w:r>
      <w:r w:rsidR="00CE4899">
        <w:rPr>
          <w:rFonts w:ascii="Times New Roman" w:hAnsi="Times New Roman" w:cs="Times New Roman"/>
          <w:sz w:val="24"/>
          <w:szCs w:val="24"/>
        </w:rPr>
        <w:t>courts.</w:t>
      </w:r>
    </w:p>
    <w:p w14:paraId="189A7541" w14:textId="7C00485A" w:rsidR="00A263E2" w:rsidRDefault="00CE4899" w:rsidP="002736AC">
      <w:pPr>
        <w:pStyle w:val="ListParagraph"/>
        <w:numPr>
          <w:ilvl w:val="0"/>
          <w:numId w:val="1"/>
        </w:numPr>
        <w:spacing w:line="240" w:lineRule="auto"/>
        <w:ind w:left="567" w:right="106" w:hanging="567"/>
        <w:jc w:val="both"/>
        <w:rPr>
          <w:rFonts w:ascii="Times New Roman" w:hAnsi="Times New Roman" w:cs="Times New Roman"/>
          <w:sz w:val="24"/>
          <w:szCs w:val="24"/>
        </w:rPr>
      </w:pPr>
      <w:r>
        <w:rPr>
          <w:rFonts w:ascii="Times New Roman" w:hAnsi="Times New Roman" w:cs="Times New Roman"/>
          <w:sz w:val="24"/>
          <w:szCs w:val="24"/>
        </w:rPr>
        <w:t>Section 49 of the 1982 Act then provides various c</w:t>
      </w:r>
      <w:r w:rsidR="003A68DC">
        <w:rPr>
          <w:rFonts w:ascii="Times New Roman" w:hAnsi="Times New Roman" w:cs="Times New Roman"/>
          <w:sz w:val="24"/>
          <w:szCs w:val="24"/>
        </w:rPr>
        <w:t>ause</w:t>
      </w:r>
      <w:r>
        <w:rPr>
          <w:rFonts w:ascii="Times New Roman" w:hAnsi="Times New Roman" w:cs="Times New Roman"/>
          <w:sz w:val="24"/>
          <w:szCs w:val="24"/>
        </w:rPr>
        <w:t xml:space="preserve">s of action which can occur if jurisdiction is declined or on the basis of </w:t>
      </w:r>
      <w:r w:rsidR="00806685">
        <w:rPr>
          <w:rFonts w:ascii="Times New Roman" w:hAnsi="Times New Roman" w:cs="Times New Roman"/>
          <w:i/>
          <w:iCs/>
          <w:sz w:val="24"/>
          <w:szCs w:val="24"/>
        </w:rPr>
        <w:t>forum non conveniens</w:t>
      </w:r>
      <w:r w:rsidR="005824D6">
        <w:rPr>
          <w:rFonts w:ascii="Times New Roman" w:hAnsi="Times New Roman" w:cs="Times New Roman"/>
          <w:sz w:val="24"/>
          <w:szCs w:val="24"/>
        </w:rPr>
        <w:t xml:space="preserve"> which, properly translated, I am told means “the appropriate for</w:t>
      </w:r>
      <w:r w:rsidR="003A68DC">
        <w:rPr>
          <w:rFonts w:ascii="Times New Roman" w:hAnsi="Times New Roman" w:cs="Times New Roman"/>
          <w:sz w:val="24"/>
          <w:szCs w:val="24"/>
        </w:rPr>
        <w:t>u</w:t>
      </w:r>
      <w:r w:rsidR="005824D6">
        <w:rPr>
          <w:rFonts w:ascii="Times New Roman" w:hAnsi="Times New Roman" w:cs="Times New Roman"/>
          <w:sz w:val="24"/>
          <w:szCs w:val="24"/>
        </w:rPr>
        <w:t>m”.  “Convenient”, apparently, is not a good translation of it.  Those include striking out the claim.  I have no doubt that I have power if I accede to the defendant’s application to grant the relief sought on the application.</w:t>
      </w:r>
    </w:p>
    <w:p w14:paraId="09E7F43A" w14:textId="41F95CBD" w:rsidR="005824D6" w:rsidRDefault="005824D6" w:rsidP="002736AC">
      <w:pPr>
        <w:pStyle w:val="ListParagraph"/>
        <w:numPr>
          <w:ilvl w:val="0"/>
          <w:numId w:val="1"/>
        </w:numPr>
        <w:spacing w:line="240" w:lineRule="auto"/>
        <w:ind w:left="567" w:right="106" w:hanging="567"/>
        <w:jc w:val="both"/>
        <w:rPr>
          <w:rFonts w:ascii="Times New Roman" w:hAnsi="Times New Roman" w:cs="Times New Roman"/>
          <w:sz w:val="24"/>
          <w:szCs w:val="24"/>
        </w:rPr>
      </w:pPr>
      <w:r>
        <w:rPr>
          <w:rFonts w:ascii="Times New Roman" w:hAnsi="Times New Roman" w:cs="Times New Roman"/>
          <w:sz w:val="24"/>
          <w:szCs w:val="24"/>
        </w:rPr>
        <w:t>A case on similar but not identical ground was dealt with by the Court of Appeal</w:t>
      </w:r>
      <w:r w:rsidR="003A68DC">
        <w:rPr>
          <w:rFonts w:ascii="Times New Roman" w:hAnsi="Times New Roman" w:cs="Times New Roman"/>
          <w:sz w:val="24"/>
          <w:szCs w:val="24"/>
        </w:rPr>
        <w:t xml:space="preserve"> in 2015</w:t>
      </w:r>
      <w:r w:rsidR="0064334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Cook </w:t>
      </w:r>
      <w:r w:rsidR="008516C0">
        <w:rPr>
          <w:rFonts w:ascii="Times New Roman" w:hAnsi="Times New Roman" w:cs="Times New Roman"/>
          <w:i/>
          <w:iCs/>
          <w:sz w:val="24"/>
          <w:szCs w:val="24"/>
        </w:rPr>
        <w:t xml:space="preserve">&amp; Others v </w:t>
      </w:r>
      <w:r w:rsidR="00961374">
        <w:rPr>
          <w:rFonts w:ascii="Times New Roman" w:hAnsi="Times New Roman" w:cs="Times New Roman"/>
          <w:i/>
          <w:iCs/>
          <w:sz w:val="24"/>
          <w:szCs w:val="24"/>
        </w:rPr>
        <w:t xml:space="preserve">Virgin Media </w:t>
      </w:r>
      <w:r w:rsidR="0048078A">
        <w:rPr>
          <w:rFonts w:ascii="Times New Roman" w:hAnsi="Times New Roman" w:cs="Times New Roman"/>
          <w:i/>
          <w:iCs/>
          <w:sz w:val="24"/>
          <w:szCs w:val="24"/>
        </w:rPr>
        <w:t xml:space="preserve">&amp; Another </w:t>
      </w:r>
      <w:r>
        <w:rPr>
          <w:rFonts w:ascii="Times New Roman" w:hAnsi="Times New Roman" w:cs="Times New Roman"/>
          <w:sz w:val="24"/>
          <w:szCs w:val="24"/>
        </w:rPr>
        <w:t>[2015] EWCA Civ 1287.</w:t>
      </w:r>
      <w:r w:rsidR="0048078A">
        <w:rPr>
          <w:rFonts w:ascii="Times New Roman" w:hAnsi="Times New Roman" w:cs="Times New Roman"/>
          <w:sz w:val="24"/>
          <w:szCs w:val="24"/>
        </w:rPr>
        <w:t xml:space="preserve">  In that case, the Court of Appeal upheld a district judge’s striking out on the second appeal, that decision also having been upheld on the first appeal, on the basis that it was a perfectly lawful order.  However, that was in different circumstances.  First, it is important to remember that, in substance, these are case management decisions and, therefore, there can be more than one right answer providing that both right answers lie within the legitimate, properly</w:t>
      </w:r>
      <w:r w:rsidR="00576BA5">
        <w:rPr>
          <w:rFonts w:ascii="Times New Roman" w:hAnsi="Times New Roman" w:cs="Times New Roman"/>
          <w:sz w:val="24"/>
          <w:szCs w:val="24"/>
        </w:rPr>
        <w:t xml:space="preserve"> exercised discretion of the district judge.  Accordingly, it is worth observing that although the Court of Appeal said that strike out in </w:t>
      </w:r>
      <w:r w:rsidR="00576BA5">
        <w:rPr>
          <w:rFonts w:ascii="Times New Roman" w:hAnsi="Times New Roman" w:cs="Times New Roman"/>
          <w:i/>
          <w:iCs/>
          <w:sz w:val="24"/>
          <w:szCs w:val="24"/>
        </w:rPr>
        <w:t xml:space="preserve">Cook </w:t>
      </w:r>
      <w:r w:rsidR="00FD31A5">
        <w:rPr>
          <w:rFonts w:ascii="Times New Roman" w:hAnsi="Times New Roman" w:cs="Times New Roman"/>
          <w:i/>
          <w:iCs/>
          <w:sz w:val="24"/>
          <w:szCs w:val="24"/>
        </w:rPr>
        <w:t>v Virgin Media</w:t>
      </w:r>
      <w:r w:rsidR="00576BA5">
        <w:rPr>
          <w:rFonts w:ascii="Times New Roman" w:hAnsi="Times New Roman" w:cs="Times New Roman"/>
          <w:i/>
          <w:iCs/>
          <w:sz w:val="24"/>
          <w:szCs w:val="24"/>
        </w:rPr>
        <w:t xml:space="preserve"> </w:t>
      </w:r>
      <w:r w:rsidR="00576BA5">
        <w:rPr>
          <w:rFonts w:ascii="Times New Roman" w:hAnsi="Times New Roman" w:cs="Times New Roman"/>
          <w:sz w:val="24"/>
          <w:szCs w:val="24"/>
        </w:rPr>
        <w:t>was correct, that does not mean that refusing to strike out would not, also, have been equally correct, at least, potentially.</w:t>
      </w:r>
    </w:p>
    <w:p w14:paraId="0AAE829E" w14:textId="6C05E73A" w:rsidR="00576BA5" w:rsidRDefault="00576BA5" w:rsidP="002736AC">
      <w:pPr>
        <w:pStyle w:val="ListParagraph"/>
        <w:numPr>
          <w:ilvl w:val="0"/>
          <w:numId w:val="1"/>
        </w:numPr>
        <w:spacing w:line="240" w:lineRule="auto"/>
        <w:ind w:left="567" w:right="106" w:hanging="567"/>
        <w:jc w:val="both"/>
        <w:rPr>
          <w:rFonts w:ascii="Times New Roman" w:hAnsi="Times New Roman" w:cs="Times New Roman"/>
          <w:sz w:val="24"/>
          <w:szCs w:val="24"/>
        </w:rPr>
      </w:pPr>
      <w:r>
        <w:rPr>
          <w:rFonts w:ascii="Times New Roman" w:hAnsi="Times New Roman" w:cs="Times New Roman"/>
          <w:sz w:val="24"/>
          <w:szCs w:val="24"/>
        </w:rPr>
        <w:t>Mr</w:t>
      </w:r>
      <w:r w:rsidR="00817053">
        <w:rPr>
          <w:rFonts w:ascii="Times New Roman" w:hAnsi="Times New Roman" w:cs="Times New Roman"/>
          <w:sz w:val="24"/>
          <w:szCs w:val="24"/>
        </w:rPr>
        <w:t xml:space="preserve"> Quickfall, who appears for the defendant as counsel, quite rightly, does not seek to suggest to me that because a strike out wa</w:t>
      </w:r>
      <w:r w:rsidR="009D5AC1">
        <w:rPr>
          <w:rFonts w:ascii="Times New Roman" w:hAnsi="Times New Roman" w:cs="Times New Roman"/>
          <w:sz w:val="24"/>
          <w:szCs w:val="24"/>
        </w:rPr>
        <w:t xml:space="preserve">s upheld in </w:t>
      </w:r>
      <w:r w:rsidR="009D5AC1">
        <w:rPr>
          <w:rFonts w:ascii="Times New Roman" w:hAnsi="Times New Roman" w:cs="Times New Roman"/>
          <w:i/>
          <w:iCs/>
          <w:sz w:val="24"/>
          <w:szCs w:val="24"/>
        </w:rPr>
        <w:t>Cook</w:t>
      </w:r>
      <w:r w:rsidR="003D2B0B">
        <w:rPr>
          <w:rFonts w:ascii="Times New Roman" w:hAnsi="Times New Roman" w:cs="Times New Roman"/>
          <w:i/>
          <w:iCs/>
          <w:sz w:val="24"/>
          <w:szCs w:val="24"/>
        </w:rPr>
        <w:t xml:space="preserve"> </w:t>
      </w:r>
      <w:r w:rsidR="00166107">
        <w:rPr>
          <w:rFonts w:ascii="Times New Roman" w:hAnsi="Times New Roman" w:cs="Times New Roman"/>
          <w:i/>
          <w:iCs/>
          <w:sz w:val="24"/>
          <w:szCs w:val="24"/>
        </w:rPr>
        <w:t xml:space="preserve">v Virgin Media </w:t>
      </w:r>
      <w:r w:rsidR="003D2B0B">
        <w:rPr>
          <w:rFonts w:ascii="Times New Roman" w:hAnsi="Times New Roman" w:cs="Times New Roman"/>
          <w:sz w:val="24"/>
          <w:szCs w:val="24"/>
        </w:rPr>
        <w:t xml:space="preserve">that that is the inevitable answer to his application. He would have been wrong to submit that </w:t>
      </w:r>
      <w:r w:rsidR="00867896">
        <w:rPr>
          <w:rFonts w:ascii="Times New Roman" w:hAnsi="Times New Roman" w:cs="Times New Roman"/>
          <w:sz w:val="24"/>
          <w:szCs w:val="24"/>
        </w:rPr>
        <w:t>and he, very properly, did not.  In any event</w:t>
      </w:r>
      <w:r w:rsidR="0070546C">
        <w:rPr>
          <w:rFonts w:ascii="Times New Roman" w:hAnsi="Times New Roman" w:cs="Times New Roman"/>
          <w:sz w:val="24"/>
          <w:szCs w:val="24"/>
        </w:rPr>
        <w:t>,</w:t>
      </w:r>
      <w:r w:rsidR="00867896">
        <w:rPr>
          <w:rFonts w:ascii="Times New Roman" w:hAnsi="Times New Roman" w:cs="Times New Roman"/>
          <w:sz w:val="24"/>
          <w:szCs w:val="24"/>
        </w:rPr>
        <w:t xml:space="preserve"> </w:t>
      </w:r>
      <w:r w:rsidR="00867896">
        <w:rPr>
          <w:rFonts w:ascii="Times New Roman" w:hAnsi="Times New Roman" w:cs="Times New Roman"/>
          <w:i/>
          <w:iCs/>
          <w:sz w:val="24"/>
          <w:szCs w:val="24"/>
        </w:rPr>
        <w:t xml:space="preserve">Cook </w:t>
      </w:r>
      <w:r w:rsidR="00166107">
        <w:rPr>
          <w:rFonts w:ascii="Times New Roman" w:hAnsi="Times New Roman" w:cs="Times New Roman"/>
          <w:i/>
          <w:iCs/>
          <w:sz w:val="24"/>
          <w:szCs w:val="24"/>
        </w:rPr>
        <w:t>v Virgin Media</w:t>
      </w:r>
      <w:r w:rsidR="00867896">
        <w:rPr>
          <w:rFonts w:ascii="Times New Roman" w:hAnsi="Times New Roman" w:cs="Times New Roman"/>
          <w:sz w:val="24"/>
          <w:szCs w:val="24"/>
        </w:rPr>
        <w:t xml:space="preserve"> is on different facts because, as I understand it, the claimant in </w:t>
      </w:r>
      <w:r w:rsidR="00867896">
        <w:rPr>
          <w:rFonts w:ascii="Times New Roman" w:hAnsi="Times New Roman" w:cs="Times New Roman"/>
          <w:i/>
          <w:iCs/>
          <w:sz w:val="24"/>
          <w:szCs w:val="24"/>
        </w:rPr>
        <w:t xml:space="preserve">Cook </w:t>
      </w:r>
      <w:r w:rsidR="00166107">
        <w:rPr>
          <w:rFonts w:ascii="Times New Roman" w:hAnsi="Times New Roman" w:cs="Times New Roman"/>
          <w:i/>
          <w:iCs/>
          <w:sz w:val="24"/>
          <w:szCs w:val="24"/>
        </w:rPr>
        <w:t>v Virgin Media</w:t>
      </w:r>
      <w:r w:rsidR="00867896">
        <w:rPr>
          <w:rFonts w:ascii="Times New Roman" w:hAnsi="Times New Roman" w:cs="Times New Roman"/>
          <w:sz w:val="24"/>
          <w:szCs w:val="24"/>
        </w:rPr>
        <w:t xml:space="preserve"> was domiciled in Scotland, complaining about an act in Scotland </w:t>
      </w:r>
      <w:r w:rsidR="00EC0AD4">
        <w:rPr>
          <w:rFonts w:ascii="Times New Roman" w:hAnsi="Times New Roman" w:cs="Times New Roman"/>
          <w:sz w:val="24"/>
          <w:szCs w:val="24"/>
        </w:rPr>
        <w:t>and</w:t>
      </w:r>
      <w:r w:rsidR="00867896">
        <w:rPr>
          <w:rFonts w:ascii="Times New Roman" w:hAnsi="Times New Roman" w:cs="Times New Roman"/>
          <w:sz w:val="24"/>
          <w:szCs w:val="24"/>
        </w:rPr>
        <w:t xml:space="preserve"> sued the defendant</w:t>
      </w:r>
      <w:r w:rsidR="00EA5714">
        <w:rPr>
          <w:rFonts w:ascii="Times New Roman" w:hAnsi="Times New Roman" w:cs="Times New Roman"/>
          <w:sz w:val="24"/>
          <w:szCs w:val="24"/>
        </w:rPr>
        <w:t>,</w:t>
      </w:r>
      <w:r w:rsidR="00867896">
        <w:rPr>
          <w:rFonts w:ascii="Times New Roman" w:hAnsi="Times New Roman" w:cs="Times New Roman"/>
          <w:sz w:val="24"/>
          <w:szCs w:val="24"/>
        </w:rPr>
        <w:t xml:space="preserve"> in that case</w:t>
      </w:r>
      <w:r w:rsidR="00EA5714">
        <w:rPr>
          <w:rFonts w:ascii="Times New Roman" w:hAnsi="Times New Roman" w:cs="Times New Roman"/>
          <w:sz w:val="24"/>
          <w:szCs w:val="24"/>
        </w:rPr>
        <w:t>,</w:t>
      </w:r>
      <w:r w:rsidR="00867896">
        <w:rPr>
          <w:rFonts w:ascii="Times New Roman" w:hAnsi="Times New Roman" w:cs="Times New Roman"/>
          <w:sz w:val="24"/>
          <w:szCs w:val="24"/>
        </w:rPr>
        <w:t xml:space="preserve"> in the Carlisle County Court.  Beyond that, and with all proper respect for the Court of Appeal, I am not sure that I can take much from </w:t>
      </w:r>
      <w:r w:rsidR="00867896">
        <w:rPr>
          <w:rFonts w:ascii="Times New Roman" w:hAnsi="Times New Roman" w:cs="Times New Roman"/>
          <w:i/>
          <w:iCs/>
          <w:sz w:val="24"/>
          <w:szCs w:val="24"/>
        </w:rPr>
        <w:t>Co</w:t>
      </w:r>
      <w:r w:rsidR="00EA5714">
        <w:rPr>
          <w:rFonts w:ascii="Times New Roman" w:hAnsi="Times New Roman" w:cs="Times New Roman"/>
          <w:i/>
          <w:iCs/>
          <w:sz w:val="24"/>
          <w:szCs w:val="24"/>
        </w:rPr>
        <w:t>ok</w:t>
      </w:r>
      <w:r w:rsidR="00EC0AD4">
        <w:rPr>
          <w:rFonts w:ascii="Times New Roman" w:hAnsi="Times New Roman" w:cs="Times New Roman"/>
          <w:i/>
          <w:iCs/>
          <w:sz w:val="24"/>
          <w:szCs w:val="24"/>
        </w:rPr>
        <w:t> </w:t>
      </w:r>
      <w:r w:rsidR="00EA5714">
        <w:rPr>
          <w:rFonts w:ascii="Times New Roman" w:hAnsi="Times New Roman" w:cs="Times New Roman"/>
          <w:i/>
          <w:iCs/>
          <w:sz w:val="24"/>
          <w:szCs w:val="24"/>
        </w:rPr>
        <w:t>v</w:t>
      </w:r>
      <w:r w:rsidR="00EC0AD4">
        <w:rPr>
          <w:rFonts w:ascii="Times New Roman" w:hAnsi="Times New Roman" w:cs="Times New Roman"/>
          <w:i/>
          <w:iCs/>
          <w:sz w:val="24"/>
          <w:szCs w:val="24"/>
        </w:rPr>
        <w:t> </w:t>
      </w:r>
      <w:r w:rsidR="00EA5714">
        <w:rPr>
          <w:rFonts w:ascii="Times New Roman" w:hAnsi="Times New Roman" w:cs="Times New Roman"/>
          <w:i/>
          <w:iCs/>
          <w:sz w:val="24"/>
          <w:szCs w:val="24"/>
        </w:rPr>
        <w:t xml:space="preserve">Virgin Media </w:t>
      </w:r>
      <w:r w:rsidR="00867896">
        <w:rPr>
          <w:rFonts w:ascii="Times New Roman" w:hAnsi="Times New Roman" w:cs="Times New Roman"/>
          <w:sz w:val="24"/>
          <w:szCs w:val="24"/>
        </w:rPr>
        <w:t>on these circumstances.</w:t>
      </w:r>
    </w:p>
    <w:p w14:paraId="26144640" w14:textId="6C6B32BD" w:rsidR="00867896" w:rsidRDefault="00867896" w:rsidP="002736AC">
      <w:pPr>
        <w:pStyle w:val="ListParagraph"/>
        <w:numPr>
          <w:ilvl w:val="0"/>
          <w:numId w:val="1"/>
        </w:numPr>
        <w:spacing w:line="240" w:lineRule="auto"/>
        <w:ind w:left="567" w:right="106" w:hanging="567"/>
        <w:jc w:val="both"/>
        <w:rPr>
          <w:rFonts w:ascii="Times New Roman" w:hAnsi="Times New Roman" w:cs="Times New Roman"/>
          <w:sz w:val="24"/>
          <w:szCs w:val="24"/>
        </w:rPr>
      </w:pPr>
      <w:r>
        <w:rPr>
          <w:rFonts w:ascii="Times New Roman" w:hAnsi="Times New Roman" w:cs="Times New Roman"/>
          <w:sz w:val="24"/>
          <w:szCs w:val="24"/>
        </w:rPr>
        <w:t>What is clear, though, is that the decision about whether the Leeds County Court is the appropriate forum for Mr Paulley’s claim turns on an application of the overriding objective within the Civil Procedure Rules in this juris</w:t>
      </w:r>
      <w:r w:rsidR="005D3B53">
        <w:rPr>
          <w:rFonts w:ascii="Times New Roman" w:hAnsi="Times New Roman" w:cs="Times New Roman"/>
          <w:sz w:val="24"/>
          <w:szCs w:val="24"/>
        </w:rPr>
        <w:t xml:space="preserve">diction.  Mr Quickfall submits that this is not the appropriate jurisdiction.  </w:t>
      </w:r>
      <w:r w:rsidR="00310486">
        <w:rPr>
          <w:rFonts w:ascii="Times New Roman" w:hAnsi="Times New Roman" w:cs="Times New Roman"/>
          <w:sz w:val="24"/>
          <w:szCs w:val="24"/>
        </w:rPr>
        <w:t>He has not suggested, and I would not have agreed with him had he done so, that this is, in any way, a particularly complex claim or has any great de</w:t>
      </w:r>
      <w:r w:rsidR="00FC2BA5">
        <w:rPr>
          <w:rFonts w:ascii="Times New Roman" w:hAnsi="Times New Roman" w:cs="Times New Roman"/>
          <w:sz w:val="24"/>
          <w:szCs w:val="24"/>
        </w:rPr>
        <w:t>gree</w:t>
      </w:r>
      <w:r w:rsidR="00310486">
        <w:rPr>
          <w:rFonts w:ascii="Times New Roman" w:hAnsi="Times New Roman" w:cs="Times New Roman"/>
          <w:sz w:val="24"/>
          <w:szCs w:val="24"/>
        </w:rPr>
        <w:t xml:space="preserve"> of import</w:t>
      </w:r>
      <w:r w:rsidR="00EC0AD4">
        <w:rPr>
          <w:rFonts w:ascii="Times New Roman" w:hAnsi="Times New Roman" w:cs="Times New Roman"/>
          <w:sz w:val="24"/>
          <w:szCs w:val="24"/>
        </w:rPr>
        <w:t>.</w:t>
      </w:r>
      <w:r w:rsidR="00310486">
        <w:rPr>
          <w:rFonts w:ascii="Times New Roman" w:hAnsi="Times New Roman" w:cs="Times New Roman"/>
          <w:sz w:val="24"/>
          <w:szCs w:val="24"/>
        </w:rPr>
        <w:t xml:space="preserve"> </w:t>
      </w:r>
      <w:r w:rsidR="00EC0AD4">
        <w:rPr>
          <w:rFonts w:ascii="Times New Roman" w:hAnsi="Times New Roman" w:cs="Times New Roman"/>
          <w:sz w:val="24"/>
          <w:szCs w:val="24"/>
        </w:rPr>
        <w:t>W</w:t>
      </w:r>
      <w:r w:rsidR="00310486">
        <w:rPr>
          <w:rFonts w:ascii="Times New Roman" w:hAnsi="Times New Roman" w:cs="Times New Roman"/>
          <w:sz w:val="24"/>
          <w:szCs w:val="24"/>
        </w:rPr>
        <w:t xml:space="preserve">hat he does say is that this is a claim about the functioning or otherwise of a lift and the defendant seeks to call seven witnesses to give evidence.  Whatever track this claim is ultimately </w:t>
      </w:r>
      <w:r w:rsidR="00204C9A">
        <w:rPr>
          <w:rFonts w:ascii="Times New Roman" w:hAnsi="Times New Roman" w:cs="Times New Roman"/>
          <w:sz w:val="24"/>
          <w:szCs w:val="24"/>
        </w:rPr>
        <w:t>allocated to, they wish to rely on the evidence of seven witnesses</w:t>
      </w:r>
      <w:r w:rsidR="001374A2">
        <w:rPr>
          <w:rFonts w:ascii="Times New Roman" w:hAnsi="Times New Roman" w:cs="Times New Roman"/>
          <w:sz w:val="24"/>
          <w:szCs w:val="24"/>
        </w:rPr>
        <w:t xml:space="preserve">, </w:t>
      </w:r>
      <w:r w:rsidR="00204C9A">
        <w:rPr>
          <w:rFonts w:ascii="Times New Roman" w:hAnsi="Times New Roman" w:cs="Times New Roman"/>
          <w:sz w:val="24"/>
          <w:szCs w:val="24"/>
        </w:rPr>
        <w:t xml:space="preserve">and they are all in Scotland.  </w:t>
      </w:r>
      <w:r w:rsidR="00204C9A" w:rsidRPr="006C15C8">
        <w:rPr>
          <w:rFonts w:ascii="Times New Roman" w:hAnsi="Times New Roman" w:cs="Times New Roman"/>
          <w:sz w:val="24"/>
          <w:szCs w:val="24"/>
        </w:rPr>
        <w:t>He says that in order for them to give their best evidence, they may wish to give it in person and that evidence, for example, by remote video is second best.  He points to the fact that</w:t>
      </w:r>
      <w:r w:rsidR="00FD4D69">
        <w:rPr>
          <w:rFonts w:ascii="Times New Roman" w:hAnsi="Times New Roman" w:cs="Times New Roman"/>
          <w:sz w:val="24"/>
          <w:szCs w:val="24"/>
        </w:rPr>
        <w:t>,</w:t>
      </w:r>
      <w:r w:rsidR="00204C9A" w:rsidRPr="006C15C8">
        <w:rPr>
          <w:rFonts w:ascii="Times New Roman" w:hAnsi="Times New Roman" w:cs="Times New Roman"/>
          <w:sz w:val="24"/>
          <w:szCs w:val="24"/>
        </w:rPr>
        <w:t xml:space="preserve"> on the defendant’s calculation, it will, in direct travel costs and wages cost £4,000 or thereabouts for those witnesses to come to court in this jurisdiction, which, he argues, is disproportionate to a claim valued, potentially, </w:t>
      </w:r>
      <w:r w:rsidR="00AE15E2">
        <w:rPr>
          <w:rFonts w:ascii="Times New Roman" w:hAnsi="Times New Roman" w:cs="Times New Roman"/>
          <w:sz w:val="24"/>
          <w:szCs w:val="24"/>
        </w:rPr>
        <w:t>up to</w:t>
      </w:r>
      <w:r w:rsidR="00204C9A" w:rsidRPr="006C15C8">
        <w:rPr>
          <w:rFonts w:ascii="Times New Roman" w:hAnsi="Times New Roman" w:cs="Times New Roman"/>
          <w:sz w:val="24"/>
          <w:szCs w:val="24"/>
        </w:rPr>
        <w:t xml:space="preserve"> £10,000</w:t>
      </w:r>
      <w:r w:rsidR="00AE15E2">
        <w:rPr>
          <w:rFonts w:ascii="Times New Roman" w:hAnsi="Times New Roman" w:cs="Times New Roman"/>
          <w:sz w:val="24"/>
          <w:szCs w:val="24"/>
        </w:rPr>
        <w:t>,</w:t>
      </w:r>
      <w:r w:rsidR="00204C9A" w:rsidRPr="006C15C8">
        <w:rPr>
          <w:rFonts w:ascii="Times New Roman" w:hAnsi="Times New Roman" w:cs="Times New Roman"/>
          <w:sz w:val="24"/>
          <w:szCs w:val="24"/>
        </w:rPr>
        <w:t xml:space="preserve"> being the lower</w:t>
      </w:r>
      <w:r w:rsidR="00261D29" w:rsidRPr="006C15C8">
        <w:rPr>
          <w:rFonts w:ascii="Times New Roman" w:hAnsi="Times New Roman" w:cs="Times New Roman"/>
          <w:sz w:val="24"/>
          <w:szCs w:val="24"/>
        </w:rPr>
        <w:t xml:space="preserve"> </w:t>
      </w:r>
      <w:r w:rsidR="00261D29" w:rsidRPr="00FD4D69">
        <w:rPr>
          <w:rFonts w:ascii="Times New Roman" w:hAnsi="Times New Roman" w:cs="Times New Roman"/>
          <w:i/>
          <w:iCs/>
          <w:sz w:val="24"/>
          <w:szCs w:val="24"/>
        </w:rPr>
        <w:t>Vento</w:t>
      </w:r>
      <w:r w:rsidR="00261D29" w:rsidRPr="006C15C8">
        <w:rPr>
          <w:rFonts w:ascii="Times New Roman" w:hAnsi="Times New Roman" w:cs="Times New Roman"/>
          <w:sz w:val="24"/>
          <w:szCs w:val="24"/>
        </w:rPr>
        <w:t xml:space="preserve"> bracket.  </w:t>
      </w:r>
    </w:p>
    <w:p w14:paraId="5D6D3ECF" w14:textId="77777777" w:rsidR="00E47771" w:rsidRDefault="0023318E" w:rsidP="002736AC">
      <w:pPr>
        <w:pStyle w:val="ListParagraph"/>
        <w:numPr>
          <w:ilvl w:val="0"/>
          <w:numId w:val="1"/>
        </w:numPr>
        <w:spacing w:line="240" w:lineRule="auto"/>
        <w:ind w:left="567" w:right="106" w:hanging="567"/>
        <w:jc w:val="both"/>
        <w:rPr>
          <w:rFonts w:ascii="Times New Roman" w:hAnsi="Times New Roman" w:cs="Times New Roman"/>
          <w:sz w:val="24"/>
          <w:szCs w:val="24"/>
        </w:rPr>
      </w:pPr>
      <w:r>
        <w:rPr>
          <w:rFonts w:ascii="Times New Roman" w:hAnsi="Times New Roman" w:cs="Times New Roman"/>
          <w:sz w:val="24"/>
          <w:szCs w:val="24"/>
        </w:rPr>
        <w:t>The overriding objective is certainly well known to the lawyers.  I suspect Mr Paulley is familiar with it but just in case, it requires me to deal with the case justly and at proportionate cost.  That includes, so far as is practicable</w:t>
      </w:r>
      <w:r w:rsidR="0080542E">
        <w:rPr>
          <w:rFonts w:ascii="Times New Roman" w:hAnsi="Times New Roman" w:cs="Times New Roman"/>
          <w:sz w:val="24"/>
          <w:szCs w:val="24"/>
        </w:rPr>
        <w:t>:</w:t>
      </w:r>
    </w:p>
    <w:p w14:paraId="6392CA7B" w14:textId="77777777" w:rsidR="00C45443" w:rsidRDefault="00C24528" w:rsidP="002736AC">
      <w:pPr>
        <w:pStyle w:val="ListParagraph"/>
        <w:spacing w:line="240" w:lineRule="auto"/>
        <w:ind w:left="2835" w:right="533" w:hanging="567"/>
        <w:jc w:val="both"/>
        <w:rPr>
          <w:rFonts w:ascii="Times New Roman" w:hAnsi="Times New Roman" w:cs="Times New Roman"/>
          <w:sz w:val="24"/>
          <w:szCs w:val="24"/>
        </w:rPr>
      </w:pPr>
      <w:r w:rsidRPr="006C15C8">
        <w:rPr>
          <w:rFonts w:ascii="Times New Roman" w:hAnsi="Times New Roman" w:cs="Times New Roman"/>
          <w:sz w:val="24"/>
          <w:szCs w:val="24"/>
        </w:rPr>
        <w:t>“</w:t>
      </w:r>
      <w:r w:rsidR="00C45443">
        <w:rPr>
          <w:rFonts w:ascii="Times New Roman" w:hAnsi="Times New Roman" w:cs="Times New Roman"/>
          <w:sz w:val="24"/>
          <w:szCs w:val="24"/>
        </w:rPr>
        <w:t>(a)</w:t>
      </w:r>
      <w:r w:rsidR="00C45443">
        <w:rPr>
          <w:rFonts w:ascii="Times New Roman" w:hAnsi="Times New Roman" w:cs="Times New Roman"/>
          <w:sz w:val="24"/>
          <w:szCs w:val="24"/>
        </w:rPr>
        <w:tab/>
      </w:r>
      <w:r w:rsidR="0080542E" w:rsidRPr="006C15C8">
        <w:rPr>
          <w:rFonts w:ascii="Times New Roman" w:hAnsi="Times New Roman" w:cs="Times New Roman"/>
          <w:sz w:val="24"/>
          <w:szCs w:val="24"/>
        </w:rPr>
        <w:t>ensuring that the parties are on an equal footing and can participate</w:t>
      </w:r>
      <w:r w:rsidR="00C45443">
        <w:rPr>
          <w:rFonts w:ascii="Times New Roman" w:hAnsi="Times New Roman" w:cs="Times New Roman"/>
          <w:sz w:val="24"/>
          <w:szCs w:val="24"/>
        </w:rPr>
        <w:t xml:space="preserve"> </w:t>
      </w:r>
      <w:r w:rsidR="0080542E" w:rsidRPr="006C15C8">
        <w:rPr>
          <w:rFonts w:ascii="Times New Roman" w:hAnsi="Times New Roman" w:cs="Times New Roman"/>
          <w:sz w:val="24"/>
          <w:szCs w:val="24"/>
        </w:rPr>
        <w:t>fully in proceedings and that parties and witnesses can give their best evidence</w:t>
      </w:r>
      <w:r w:rsidR="00C45443">
        <w:rPr>
          <w:rFonts w:ascii="Times New Roman" w:hAnsi="Times New Roman" w:cs="Times New Roman"/>
          <w:sz w:val="24"/>
          <w:szCs w:val="24"/>
        </w:rPr>
        <w:t xml:space="preserve"> </w:t>
      </w:r>
    </w:p>
    <w:p w14:paraId="569215B4" w14:textId="77777777" w:rsidR="00C45443" w:rsidRDefault="00C45443" w:rsidP="002736AC">
      <w:pPr>
        <w:pStyle w:val="ListParagraph"/>
        <w:spacing w:line="240" w:lineRule="auto"/>
        <w:ind w:left="2835" w:right="533" w:hanging="567"/>
        <w:jc w:val="both"/>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r>
      <w:r w:rsidR="0080542E" w:rsidRPr="006C15C8">
        <w:rPr>
          <w:rFonts w:ascii="Times New Roman" w:hAnsi="Times New Roman" w:cs="Times New Roman"/>
          <w:sz w:val="24"/>
          <w:szCs w:val="24"/>
        </w:rPr>
        <w:t xml:space="preserve">saving expense; </w:t>
      </w:r>
    </w:p>
    <w:p w14:paraId="546B3DCA" w14:textId="77777777" w:rsidR="00C45443" w:rsidRDefault="00C45443" w:rsidP="002736AC">
      <w:pPr>
        <w:pStyle w:val="ListParagraph"/>
        <w:spacing w:line="240" w:lineRule="auto"/>
        <w:ind w:left="2835" w:right="533" w:hanging="567"/>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80542E" w:rsidRPr="006C15C8">
        <w:rPr>
          <w:rFonts w:ascii="Times New Roman" w:hAnsi="Times New Roman" w:cs="Times New Roman"/>
          <w:sz w:val="24"/>
          <w:szCs w:val="24"/>
        </w:rPr>
        <w:t>dealing with the case in ways which are proportionate</w:t>
      </w:r>
      <w:r w:rsidR="00D11588" w:rsidRPr="006C15C8">
        <w:rPr>
          <w:rFonts w:ascii="Times New Roman" w:hAnsi="Times New Roman" w:cs="Times New Roman"/>
          <w:sz w:val="24"/>
          <w:szCs w:val="24"/>
        </w:rPr>
        <w:t>:</w:t>
      </w:r>
    </w:p>
    <w:p w14:paraId="21DE8611" w14:textId="77777777" w:rsidR="00BD6E85" w:rsidRDefault="00C45443" w:rsidP="002736AC">
      <w:pPr>
        <w:pStyle w:val="ListParagraph"/>
        <w:spacing w:line="240" w:lineRule="auto"/>
        <w:ind w:left="2880" w:right="533"/>
        <w:jc w:val="both"/>
        <w:rPr>
          <w:rFonts w:ascii="Times New Roman" w:hAnsi="Times New Roman" w:cs="Times New Roman"/>
          <w:sz w:val="24"/>
          <w:szCs w:val="24"/>
        </w:rPr>
      </w:pPr>
      <w:r>
        <w:rPr>
          <w:rFonts w:ascii="Times New Roman" w:hAnsi="Times New Roman" w:cs="Times New Roman"/>
          <w:sz w:val="24"/>
          <w:szCs w:val="24"/>
        </w:rPr>
        <w:t>(i)</w:t>
      </w:r>
      <w:r w:rsidR="00BD6E85">
        <w:rPr>
          <w:rFonts w:ascii="Times New Roman" w:hAnsi="Times New Roman" w:cs="Times New Roman"/>
          <w:sz w:val="24"/>
          <w:szCs w:val="24"/>
        </w:rPr>
        <w:tab/>
      </w:r>
      <w:r w:rsidR="00D11588" w:rsidRPr="006C15C8">
        <w:rPr>
          <w:rFonts w:ascii="Times New Roman" w:hAnsi="Times New Roman" w:cs="Times New Roman"/>
          <w:sz w:val="24"/>
          <w:szCs w:val="24"/>
        </w:rPr>
        <w:t>to the amount of money involved;</w:t>
      </w:r>
    </w:p>
    <w:p w14:paraId="4ED7A156" w14:textId="77777777" w:rsidR="00BD6E85" w:rsidRDefault="00BD6E85" w:rsidP="002736AC">
      <w:pPr>
        <w:pStyle w:val="ListParagraph"/>
        <w:spacing w:line="240" w:lineRule="auto"/>
        <w:ind w:left="2880" w:right="533"/>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D11588" w:rsidRPr="006C15C8">
        <w:rPr>
          <w:rFonts w:ascii="Times New Roman" w:hAnsi="Times New Roman" w:cs="Times New Roman"/>
          <w:sz w:val="24"/>
          <w:szCs w:val="24"/>
        </w:rPr>
        <w:t>to the importance of the case;</w:t>
      </w:r>
    </w:p>
    <w:p w14:paraId="5E7D4331" w14:textId="77777777" w:rsidR="00BD6E85" w:rsidRDefault="00BD6E85" w:rsidP="002736AC">
      <w:pPr>
        <w:pStyle w:val="ListParagraph"/>
        <w:spacing w:line="240" w:lineRule="auto"/>
        <w:ind w:left="2880" w:right="533"/>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D11588" w:rsidRPr="006C15C8">
        <w:rPr>
          <w:rFonts w:ascii="Times New Roman" w:hAnsi="Times New Roman" w:cs="Times New Roman"/>
          <w:sz w:val="24"/>
          <w:szCs w:val="24"/>
        </w:rPr>
        <w:t>to the complexity of the issues;</w:t>
      </w:r>
    </w:p>
    <w:p w14:paraId="4DBD9C28" w14:textId="77777777" w:rsidR="00D32240" w:rsidRDefault="00BD6E85" w:rsidP="002736AC">
      <w:pPr>
        <w:pStyle w:val="ListParagraph"/>
        <w:spacing w:line="240" w:lineRule="auto"/>
        <w:ind w:left="2880" w:right="533"/>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00D11588" w:rsidRPr="006C15C8">
        <w:rPr>
          <w:rFonts w:ascii="Times New Roman" w:hAnsi="Times New Roman" w:cs="Times New Roman"/>
          <w:sz w:val="24"/>
          <w:szCs w:val="24"/>
        </w:rPr>
        <w:t>to the financial position of each party;</w:t>
      </w:r>
    </w:p>
    <w:p w14:paraId="76EDD801" w14:textId="03836646" w:rsidR="00D11588" w:rsidRPr="006C15C8" w:rsidRDefault="00D11588" w:rsidP="002736AC">
      <w:pPr>
        <w:pStyle w:val="ListParagraph"/>
        <w:numPr>
          <w:ilvl w:val="0"/>
          <w:numId w:val="2"/>
        </w:numPr>
        <w:spacing w:line="240" w:lineRule="auto"/>
        <w:ind w:left="2835" w:right="533" w:hanging="567"/>
        <w:jc w:val="both"/>
        <w:rPr>
          <w:rFonts w:ascii="Times New Roman" w:hAnsi="Times New Roman" w:cs="Times New Roman"/>
          <w:sz w:val="24"/>
          <w:szCs w:val="24"/>
        </w:rPr>
      </w:pPr>
      <w:r w:rsidRPr="006C15C8">
        <w:rPr>
          <w:rFonts w:ascii="Times New Roman" w:hAnsi="Times New Roman" w:cs="Times New Roman"/>
          <w:sz w:val="24"/>
          <w:szCs w:val="24"/>
        </w:rPr>
        <w:t>ensuring that it is dealt with expeditiously and fairly;</w:t>
      </w:r>
    </w:p>
    <w:p w14:paraId="38528DCA" w14:textId="1DD70010" w:rsidR="00D11588" w:rsidRDefault="00D11588" w:rsidP="002736AC">
      <w:pPr>
        <w:pStyle w:val="ListParagraph"/>
        <w:numPr>
          <w:ilvl w:val="0"/>
          <w:numId w:val="2"/>
        </w:numPr>
        <w:spacing w:line="240" w:lineRule="auto"/>
        <w:ind w:left="2835" w:right="533" w:hanging="567"/>
        <w:jc w:val="both"/>
        <w:rPr>
          <w:rFonts w:ascii="Times New Roman" w:hAnsi="Times New Roman" w:cs="Times New Roman"/>
          <w:sz w:val="24"/>
          <w:szCs w:val="24"/>
        </w:rPr>
      </w:pPr>
      <w:r>
        <w:rPr>
          <w:rFonts w:ascii="Times New Roman" w:hAnsi="Times New Roman" w:cs="Times New Roman"/>
          <w:sz w:val="24"/>
          <w:szCs w:val="24"/>
        </w:rPr>
        <w:t>allotting to it an appropriate share of the Court’s resources while taking into account the need to allot resources to other cases; and</w:t>
      </w:r>
    </w:p>
    <w:p w14:paraId="61978E9D" w14:textId="486E63E1" w:rsidR="00D11588" w:rsidRPr="006C15C8" w:rsidRDefault="00D11588" w:rsidP="002736AC">
      <w:pPr>
        <w:pStyle w:val="ListParagraph"/>
        <w:numPr>
          <w:ilvl w:val="0"/>
          <w:numId w:val="2"/>
        </w:numPr>
        <w:spacing w:after="200" w:line="240" w:lineRule="auto"/>
        <w:ind w:left="2835" w:right="533" w:hanging="567"/>
        <w:contextualSpacing w:val="0"/>
        <w:jc w:val="both"/>
        <w:rPr>
          <w:rFonts w:ascii="Times New Roman" w:hAnsi="Times New Roman" w:cs="Times New Roman"/>
          <w:sz w:val="24"/>
          <w:szCs w:val="24"/>
        </w:rPr>
      </w:pPr>
      <w:r>
        <w:rPr>
          <w:rFonts w:ascii="Times New Roman" w:hAnsi="Times New Roman" w:cs="Times New Roman"/>
          <w:sz w:val="24"/>
          <w:szCs w:val="24"/>
        </w:rPr>
        <w:t>enforcing compliance with rules, practice directions and orders</w:t>
      </w:r>
      <w:r w:rsidR="005820C8">
        <w:rPr>
          <w:rFonts w:ascii="Times New Roman" w:hAnsi="Times New Roman" w:cs="Times New Roman"/>
          <w:sz w:val="24"/>
          <w:szCs w:val="24"/>
        </w:rPr>
        <w:t>”.</w:t>
      </w:r>
    </w:p>
    <w:p w14:paraId="3C732C0F" w14:textId="5850811A" w:rsidR="0080542E" w:rsidRDefault="00D11588" w:rsidP="002736AC">
      <w:pPr>
        <w:pStyle w:val="ListParagraph"/>
        <w:numPr>
          <w:ilvl w:val="0"/>
          <w:numId w:val="1"/>
        </w:numPr>
        <w:spacing w:line="240" w:lineRule="auto"/>
        <w:ind w:left="567" w:right="106" w:hanging="567"/>
        <w:jc w:val="both"/>
        <w:rPr>
          <w:rFonts w:ascii="Times New Roman" w:hAnsi="Times New Roman" w:cs="Times New Roman"/>
          <w:sz w:val="24"/>
          <w:szCs w:val="24"/>
        </w:rPr>
      </w:pPr>
      <w:r>
        <w:rPr>
          <w:rFonts w:ascii="Times New Roman" w:hAnsi="Times New Roman" w:cs="Times New Roman"/>
          <w:sz w:val="24"/>
          <w:szCs w:val="24"/>
        </w:rPr>
        <w:t xml:space="preserve">I also have in mind that a more recent part of the CPR, Practice Direction 1A which is “participation of vulnerable parties or witnesses”.  </w:t>
      </w:r>
      <w:r w:rsidR="00B150CC">
        <w:rPr>
          <w:rFonts w:ascii="Times New Roman" w:hAnsi="Times New Roman" w:cs="Times New Roman"/>
          <w:sz w:val="24"/>
          <w:szCs w:val="24"/>
        </w:rPr>
        <w:t xml:space="preserve">Mr Paulley has not suggested, in terms, that he is vulnerable but it does seem to me that in a wide sense, this has application.  For example, </w:t>
      </w:r>
      <w:r w:rsidR="00E731AF">
        <w:rPr>
          <w:rFonts w:ascii="Times New Roman" w:hAnsi="Times New Roman" w:cs="Times New Roman"/>
          <w:sz w:val="24"/>
          <w:szCs w:val="24"/>
        </w:rPr>
        <w:t xml:space="preserve">paragraph </w:t>
      </w:r>
      <w:r w:rsidR="00B150CC">
        <w:rPr>
          <w:rFonts w:ascii="Times New Roman" w:hAnsi="Times New Roman" w:cs="Times New Roman"/>
          <w:sz w:val="24"/>
          <w:szCs w:val="24"/>
        </w:rPr>
        <w:t>two of that practice direction says:</w:t>
      </w:r>
    </w:p>
    <w:p w14:paraId="2FB945A6" w14:textId="62DC1D85" w:rsidR="00B150CC" w:rsidRDefault="00B150CC" w:rsidP="002736AC">
      <w:pPr>
        <w:pStyle w:val="ListParagraph"/>
        <w:spacing w:line="240" w:lineRule="auto"/>
        <w:ind w:left="2880" w:right="533" w:hanging="612"/>
        <w:jc w:val="both"/>
        <w:rPr>
          <w:rFonts w:ascii="Times New Roman" w:hAnsi="Times New Roman" w:cs="Times New Roman"/>
          <w:sz w:val="24"/>
          <w:szCs w:val="24"/>
        </w:rPr>
      </w:pPr>
      <w:r>
        <w:rPr>
          <w:rFonts w:ascii="Times New Roman" w:hAnsi="Times New Roman" w:cs="Times New Roman"/>
          <w:sz w:val="24"/>
          <w:szCs w:val="24"/>
        </w:rPr>
        <w:t>“</w:t>
      </w:r>
      <w:r w:rsidR="007B7D11">
        <w:rPr>
          <w:rFonts w:ascii="Times New Roman" w:hAnsi="Times New Roman" w:cs="Times New Roman"/>
          <w:sz w:val="24"/>
          <w:szCs w:val="24"/>
        </w:rPr>
        <w:t>(2)</w:t>
      </w:r>
      <w:r w:rsidR="007B7D11">
        <w:rPr>
          <w:rFonts w:ascii="Times New Roman" w:hAnsi="Times New Roman" w:cs="Times New Roman"/>
          <w:sz w:val="24"/>
          <w:szCs w:val="24"/>
        </w:rPr>
        <w:tab/>
      </w:r>
      <w:r w:rsidR="00451199">
        <w:rPr>
          <w:rFonts w:ascii="Times New Roman" w:hAnsi="Times New Roman" w:cs="Times New Roman"/>
          <w:sz w:val="24"/>
          <w:szCs w:val="24"/>
        </w:rPr>
        <w:t>Vulnerability of a party or witness may impede participation and diminish the quality of evidence.  The Court should take all propor</w:t>
      </w:r>
      <w:r w:rsidR="007B7D11">
        <w:rPr>
          <w:rFonts w:ascii="Times New Roman" w:hAnsi="Times New Roman" w:cs="Times New Roman"/>
          <w:sz w:val="24"/>
          <w:szCs w:val="24"/>
        </w:rPr>
        <w:t>tionate measures to address these issues in every case.</w:t>
      </w:r>
    </w:p>
    <w:p w14:paraId="1F91B079" w14:textId="501AE2C5" w:rsidR="007B7D11" w:rsidRDefault="007B7D11" w:rsidP="002736AC">
      <w:pPr>
        <w:pStyle w:val="ListParagraph"/>
        <w:spacing w:line="240" w:lineRule="auto"/>
        <w:ind w:left="2880" w:right="533" w:hanging="612"/>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person should be c</w:t>
      </w:r>
      <w:r w:rsidR="009033EE">
        <w:rPr>
          <w:rFonts w:ascii="Times New Roman" w:hAnsi="Times New Roman" w:cs="Times New Roman"/>
          <w:sz w:val="24"/>
          <w:szCs w:val="24"/>
        </w:rPr>
        <w:t>onsidered as vulnerable when a factor which could be personal or situational, permanent or temporary</w:t>
      </w:r>
      <w:r w:rsidR="002E20E6">
        <w:rPr>
          <w:rFonts w:ascii="Times New Roman" w:hAnsi="Times New Roman" w:cs="Times New Roman"/>
          <w:sz w:val="24"/>
          <w:szCs w:val="24"/>
        </w:rPr>
        <w:t>,</w:t>
      </w:r>
      <w:r w:rsidR="009033EE">
        <w:rPr>
          <w:rFonts w:ascii="Times New Roman" w:hAnsi="Times New Roman" w:cs="Times New Roman"/>
          <w:sz w:val="24"/>
          <w:szCs w:val="24"/>
        </w:rPr>
        <w:t xml:space="preserve"> may adversely affect their participation in proceedings or the giving of evidence.</w:t>
      </w:r>
    </w:p>
    <w:p w14:paraId="7035D6F5" w14:textId="70B2CF5F" w:rsidR="009033EE" w:rsidRDefault="009033EE" w:rsidP="002736AC">
      <w:pPr>
        <w:pStyle w:val="ListParagraph"/>
        <w:spacing w:line="240" w:lineRule="auto"/>
        <w:ind w:left="2880" w:right="533" w:hanging="612"/>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Factors which may cause vulnerability in a party or witness include but are not limited to</w:t>
      </w:r>
      <w:r w:rsidR="00305660">
        <w:rPr>
          <w:rFonts w:ascii="Times New Roman" w:hAnsi="Times New Roman" w:cs="Times New Roman"/>
          <w:sz w:val="24"/>
          <w:szCs w:val="24"/>
        </w:rPr>
        <w:t>:</w:t>
      </w:r>
    </w:p>
    <w:p w14:paraId="09ECFDD4" w14:textId="6C828816" w:rsidR="002E2005" w:rsidRDefault="002E2005" w:rsidP="002736AC">
      <w:pPr>
        <w:pStyle w:val="ListParagraph"/>
        <w:spacing w:line="240" w:lineRule="auto"/>
        <w:ind w:left="2880" w:right="533" w:hanging="612"/>
        <w:jc w:val="both"/>
        <w:rPr>
          <w:rFonts w:ascii="Times New Roman" w:hAnsi="Times New Roman" w:cs="Times New Roman"/>
          <w:sz w:val="24"/>
          <w:szCs w:val="24"/>
        </w:rPr>
      </w:pPr>
      <w:r>
        <w:rPr>
          <w:rFonts w:ascii="Times New Roman" w:hAnsi="Times New Roman" w:cs="Times New Roman"/>
          <w:sz w:val="24"/>
          <w:szCs w:val="24"/>
        </w:rPr>
        <w:tab/>
        <w:t>…</w:t>
      </w:r>
    </w:p>
    <w:p w14:paraId="225F89D9" w14:textId="5878B288" w:rsidR="00305660" w:rsidRDefault="00305660" w:rsidP="002736AC">
      <w:pPr>
        <w:pStyle w:val="ListParagraph"/>
        <w:spacing w:after="200" w:line="240" w:lineRule="auto"/>
        <w:ind w:left="2880" w:right="533" w:hanging="612"/>
        <w:contextualSpacing w:val="0"/>
        <w:jc w:val="both"/>
        <w:rPr>
          <w:rFonts w:ascii="Times New Roman" w:hAnsi="Times New Roman" w:cs="Times New Roman"/>
          <w:sz w:val="24"/>
          <w:szCs w:val="24"/>
        </w:rPr>
      </w:pPr>
      <w:r>
        <w:rPr>
          <w:rFonts w:ascii="Times New Roman" w:hAnsi="Times New Roman" w:cs="Times New Roman"/>
          <w:sz w:val="24"/>
          <w:szCs w:val="24"/>
        </w:rPr>
        <w:tab/>
        <w:t>(c)</w:t>
      </w:r>
      <w:r w:rsidR="00A40750">
        <w:rPr>
          <w:rFonts w:ascii="Times New Roman" w:hAnsi="Times New Roman" w:cs="Times New Roman"/>
          <w:sz w:val="24"/>
          <w:szCs w:val="24"/>
        </w:rPr>
        <w:t xml:space="preserve">  physical disability or impairment or health condition”.</w:t>
      </w:r>
    </w:p>
    <w:p w14:paraId="31A66720" w14:textId="16517A0B" w:rsidR="00370C5E" w:rsidRDefault="00A40750" w:rsidP="002736AC">
      <w:pPr>
        <w:pStyle w:val="ListParagraph"/>
        <w:numPr>
          <w:ilvl w:val="0"/>
          <w:numId w:val="1"/>
        </w:numPr>
        <w:spacing w:line="240" w:lineRule="auto"/>
        <w:ind w:left="567" w:right="106" w:hanging="567"/>
        <w:jc w:val="both"/>
        <w:rPr>
          <w:rFonts w:ascii="Times New Roman" w:hAnsi="Times New Roman" w:cs="Times New Roman"/>
          <w:sz w:val="24"/>
          <w:szCs w:val="24"/>
        </w:rPr>
      </w:pPr>
      <w:r>
        <w:rPr>
          <w:rFonts w:ascii="Times New Roman" w:hAnsi="Times New Roman" w:cs="Times New Roman"/>
          <w:sz w:val="24"/>
          <w:szCs w:val="24"/>
        </w:rPr>
        <w:t>Mr Paulley, as I understand matters, is a permanent wheelchair user.  It follows, as he did submit, that travel</w:t>
      </w:r>
      <w:r w:rsidR="002E2005">
        <w:rPr>
          <w:rFonts w:ascii="Times New Roman" w:hAnsi="Times New Roman" w:cs="Times New Roman"/>
          <w:sz w:val="24"/>
          <w:szCs w:val="24"/>
        </w:rPr>
        <w:t xml:space="preserve"> to Edinburgh to litigate this case is more fraught for him.  Inevitably, it will involve cost as well</w:t>
      </w:r>
      <w:r w:rsidR="00E40BB4">
        <w:rPr>
          <w:rFonts w:ascii="Times New Roman" w:hAnsi="Times New Roman" w:cs="Times New Roman"/>
          <w:sz w:val="24"/>
          <w:szCs w:val="24"/>
        </w:rPr>
        <w:t>,</w:t>
      </w:r>
      <w:r w:rsidR="002E2005">
        <w:rPr>
          <w:rFonts w:ascii="Times New Roman" w:hAnsi="Times New Roman" w:cs="Times New Roman"/>
          <w:sz w:val="24"/>
          <w:szCs w:val="24"/>
        </w:rPr>
        <w:t xml:space="preserve"> but the same might be said for the defendant’s seven witnesses.  It is certainly unacceptable</w:t>
      </w:r>
      <w:r w:rsidR="002812C3">
        <w:rPr>
          <w:rFonts w:ascii="Times New Roman" w:hAnsi="Times New Roman" w:cs="Times New Roman"/>
          <w:sz w:val="24"/>
          <w:szCs w:val="24"/>
        </w:rPr>
        <w:t xml:space="preserve"> and cumbersome for Mr Paulley to have to travel to Edinburgh but I bear well in mind that he appears to be on</w:t>
      </w:r>
      <w:r w:rsidR="00E40BB4">
        <w:rPr>
          <w:rFonts w:ascii="Times New Roman" w:hAnsi="Times New Roman" w:cs="Times New Roman"/>
          <w:sz w:val="24"/>
          <w:szCs w:val="24"/>
        </w:rPr>
        <w:t>e</w:t>
      </w:r>
      <w:r w:rsidR="002812C3">
        <w:rPr>
          <w:rFonts w:ascii="Times New Roman" w:hAnsi="Times New Roman" w:cs="Times New Roman"/>
          <w:sz w:val="24"/>
          <w:szCs w:val="24"/>
        </w:rPr>
        <w:t xml:space="preserve"> of, potentially, eight witnesses and the other seven would, if they were giving their evidence in Leeds, have to travel in the opposite direction.  </w:t>
      </w:r>
      <w:r w:rsidR="00370C5E">
        <w:rPr>
          <w:rFonts w:ascii="Times New Roman" w:hAnsi="Times New Roman" w:cs="Times New Roman"/>
          <w:sz w:val="24"/>
          <w:szCs w:val="24"/>
        </w:rPr>
        <w:t>I will return to that apparently central question in a moment.</w:t>
      </w:r>
    </w:p>
    <w:p w14:paraId="3F047DA2" w14:textId="6798A712" w:rsidR="004833EB" w:rsidRDefault="00370C5E" w:rsidP="002736AC">
      <w:pPr>
        <w:pStyle w:val="ListParagraph"/>
        <w:numPr>
          <w:ilvl w:val="0"/>
          <w:numId w:val="1"/>
        </w:numPr>
        <w:spacing w:line="240" w:lineRule="auto"/>
        <w:ind w:left="567" w:right="106" w:hanging="567"/>
        <w:jc w:val="both"/>
        <w:rPr>
          <w:rFonts w:ascii="Times New Roman" w:hAnsi="Times New Roman" w:cs="Times New Roman"/>
          <w:sz w:val="24"/>
          <w:szCs w:val="24"/>
        </w:rPr>
      </w:pPr>
      <w:r>
        <w:rPr>
          <w:rFonts w:ascii="Times New Roman" w:hAnsi="Times New Roman" w:cs="Times New Roman"/>
          <w:sz w:val="24"/>
          <w:szCs w:val="24"/>
        </w:rPr>
        <w:t xml:space="preserve">Some other issues have been put to me such as the potential costs </w:t>
      </w:r>
      <w:r w:rsidR="001A4689">
        <w:rPr>
          <w:rFonts w:ascii="Times New Roman" w:hAnsi="Times New Roman" w:cs="Times New Roman"/>
          <w:sz w:val="24"/>
          <w:szCs w:val="24"/>
        </w:rPr>
        <w:t>recovery being different in here versus in Scotland, depending on what track the matter is allocated to</w:t>
      </w:r>
      <w:r w:rsidR="00AA2900">
        <w:rPr>
          <w:rFonts w:ascii="Times New Roman" w:hAnsi="Times New Roman" w:cs="Times New Roman"/>
          <w:sz w:val="24"/>
          <w:szCs w:val="24"/>
        </w:rPr>
        <w:t xml:space="preserve"> here</w:t>
      </w:r>
      <w:r w:rsidR="001A4689">
        <w:rPr>
          <w:rFonts w:ascii="Times New Roman" w:hAnsi="Times New Roman" w:cs="Times New Roman"/>
          <w:sz w:val="24"/>
          <w:szCs w:val="24"/>
        </w:rPr>
        <w:t>.  Those two things, largely, it seems to me, run in tandem.  There is an unresolvable dispute between the parties as to whether there is an equivalent of a small claims mediation service in the Scottish jurisdiction.  It seems to me, as I indicated during the hearing that to try to look too far ahead in terms of what the costs recovery position may be, what track this may end up being allocated to</w:t>
      </w:r>
      <w:r w:rsidR="00BC293E">
        <w:rPr>
          <w:rFonts w:ascii="Times New Roman" w:hAnsi="Times New Roman" w:cs="Times New Roman"/>
          <w:sz w:val="24"/>
          <w:szCs w:val="24"/>
        </w:rPr>
        <w:t>,</w:t>
      </w:r>
      <w:r w:rsidR="001A4689">
        <w:rPr>
          <w:rFonts w:ascii="Times New Roman" w:hAnsi="Times New Roman" w:cs="Times New Roman"/>
          <w:sz w:val="24"/>
          <w:szCs w:val="24"/>
        </w:rPr>
        <w:t xml:space="preserve"> is a bridge too far for this hearing because until the issues are more clearly known, the question of track is very much up in the air</w:t>
      </w:r>
      <w:r w:rsidR="00BC293E">
        <w:rPr>
          <w:rFonts w:ascii="Times New Roman" w:hAnsi="Times New Roman" w:cs="Times New Roman"/>
          <w:sz w:val="24"/>
          <w:szCs w:val="24"/>
        </w:rPr>
        <w:t>,</w:t>
      </w:r>
      <w:r w:rsidR="001A4689">
        <w:rPr>
          <w:rFonts w:ascii="Times New Roman" w:hAnsi="Times New Roman" w:cs="Times New Roman"/>
          <w:sz w:val="24"/>
          <w:szCs w:val="24"/>
        </w:rPr>
        <w:t xml:space="preserve"> and that dictates costs f</w:t>
      </w:r>
      <w:r w:rsidR="00F87EC4">
        <w:rPr>
          <w:rFonts w:ascii="Times New Roman" w:hAnsi="Times New Roman" w:cs="Times New Roman"/>
          <w:sz w:val="24"/>
          <w:szCs w:val="24"/>
        </w:rPr>
        <w:t>or recovery starting point as a position in this jurisdiction.  I have little or no information about what the costs recovery position in Scot</w:t>
      </w:r>
      <w:r w:rsidR="004833EB">
        <w:rPr>
          <w:rFonts w:ascii="Times New Roman" w:hAnsi="Times New Roman" w:cs="Times New Roman"/>
          <w:sz w:val="24"/>
          <w:szCs w:val="24"/>
        </w:rPr>
        <w:t>s law m</w:t>
      </w:r>
      <w:r w:rsidR="00C67D44">
        <w:rPr>
          <w:rFonts w:ascii="Times New Roman" w:hAnsi="Times New Roman" w:cs="Times New Roman"/>
          <w:sz w:val="24"/>
          <w:szCs w:val="24"/>
        </w:rPr>
        <w:t>ay</w:t>
      </w:r>
      <w:r w:rsidR="004833EB">
        <w:rPr>
          <w:rFonts w:ascii="Times New Roman" w:hAnsi="Times New Roman" w:cs="Times New Roman"/>
          <w:sz w:val="24"/>
          <w:szCs w:val="24"/>
        </w:rPr>
        <w:t xml:space="preserve"> or may not be.  I decline to speculate about any of those matters.</w:t>
      </w:r>
    </w:p>
    <w:p w14:paraId="5ECF1AAD" w14:textId="154BF490" w:rsidR="004833EB" w:rsidRDefault="004833EB" w:rsidP="002736AC">
      <w:pPr>
        <w:pStyle w:val="ListParagraph"/>
        <w:spacing w:line="240" w:lineRule="auto"/>
        <w:ind w:left="567" w:right="106"/>
        <w:jc w:val="both"/>
        <w:rPr>
          <w:rFonts w:ascii="Times New Roman" w:hAnsi="Times New Roman" w:cs="Times New Roman"/>
          <w:sz w:val="24"/>
          <w:szCs w:val="24"/>
        </w:rPr>
      </w:pPr>
      <w:r>
        <w:rPr>
          <w:rFonts w:ascii="Times New Roman" w:hAnsi="Times New Roman" w:cs="Times New Roman"/>
          <w:sz w:val="24"/>
          <w:szCs w:val="24"/>
        </w:rPr>
        <w:t>It seems to me, therefore, the central question is, is this an appropriate forum for the case, and, whether it is appropriate is to be determined by whether it can be disposed of justly and fairly within the factors that I have identified.</w:t>
      </w:r>
    </w:p>
    <w:p w14:paraId="4DA4FD51" w14:textId="01EEB12F" w:rsidR="006F74D4" w:rsidRDefault="004833EB" w:rsidP="002736AC">
      <w:pPr>
        <w:pStyle w:val="ListParagraph"/>
        <w:numPr>
          <w:ilvl w:val="0"/>
          <w:numId w:val="1"/>
        </w:numPr>
        <w:spacing w:line="240" w:lineRule="auto"/>
        <w:ind w:left="567" w:right="106" w:hanging="567"/>
        <w:jc w:val="both"/>
        <w:rPr>
          <w:rFonts w:ascii="Times New Roman" w:hAnsi="Times New Roman" w:cs="Times New Roman"/>
          <w:sz w:val="24"/>
          <w:szCs w:val="24"/>
        </w:rPr>
      </w:pPr>
      <w:r>
        <w:rPr>
          <w:rFonts w:ascii="Times New Roman" w:hAnsi="Times New Roman" w:cs="Times New Roman"/>
          <w:sz w:val="24"/>
          <w:szCs w:val="24"/>
        </w:rPr>
        <w:t>Mr Quickfall pressed upon me that the idea of seven witnesses giving evidence remotel</w:t>
      </w:r>
      <w:r w:rsidR="009A457C">
        <w:rPr>
          <w:rFonts w:ascii="Times New Roman" w:hAnsi="Times New Roman" w:cs="Times New Roman"/>
          <w:sz w:val="24"/>
          <w:szCs w:val="24"/>
        </w:rPr>
        <w:t>y</w:t>
      </w:r>
      <w:r w:rsidR="006F74D4">
        <w:rPr>
          <w:rFonts w:ascii="Times New Roman" w:hAnsi="Times New Roman" w:cs="Times New Roman"/>
          <w:sz w:val="24"/>
          <w:szCs w:val="24"/>
        </w:rPr>
        <w:t xml:space="preserve"> effectively meant that it was unfair and that it was equally unfair for them to have to travel given the expense and proportionality of expense, to give evidence in this jurisdiction.  As to </w:t>
      </w:r>
      <w:r w:rsidR="006F74D4">
        <w:rPr>
          <w:rFonts w:ascii="Times New Roman" w:hAnsi="Times New Roman" w:cs="Times New Roman"/>
          <w:sz w:val="24"/>
          <w:szCs w:val="24"/>
        </w:rPr>
        <w:lastRenderedPageBreak/>
        <w:t>precisely why remote evidence would be unfair for the witnesses, when I asked him to deal with that in more detail, he said that there can be technical difficulties with remote evidence, the witnesses can feel rather dislocated from what is going on in court and it is more difficult for them to be assisted by the lawyers, obviously, when they are not actually giving their evidence and can be more difficult for instructions to be given.  These things are always a balancing act.</w:t>
      </w:r>
    </w:p>
    <w:p w14:paraId="50BAAF18" w14:textId="53FCACAC" w:rsidR="006F74D4" w:rsidRDefault="006F74D4" w:rsidP="002736AC">
      <w:pPr>
        <w:pStyle w:val="ListParagraph"/>
        <w:numPr>
          <w:ilvl w:val="0"/>
          <w:numId w:val="1"/>
        </w:numPr>
        <w:spacing w:line="240" w:lineRule="auto"/>
        <w:ind w:left="567" w:right="106" w:hanging="567"/>
        <w:jc w:val="both"/>
        <w:rPr>
          <w:rFonts w:ascii="Times New Roman" w:hAnsi="Times New Roman" w:cs="Times New Roman"/>
          <w:sz w:val="24"/>
          <w:szCs w:val="24"/>
        </w:rPr>
      </w:pPr>
      <w:r>
        <w:rPr>
          <w:rFonts w:ascii="Times New Roman" w:hAnsi="Times New Roman" w:cs="Times New Roman"/>
          <w:sz w:val="24"/>
          <w:szCs w:val="24"/>
        </w:rPr>
        <w:t xml:space="preserve">I </w:t>
      </w:r>
      <w:r w:rsidR="00B97C62">
        <w:rPr>
          <w:rFonts w:ascii="Times New Roman" w:hAnsi="Times New Roman" w:cs="Times New Roman"/>
          <w:sz w:val="24"/>
          <w:szCs w:val="24"/>
        </w:rPr>
        <w:t>would make the following observations: witnesses, indeed significant witnesses</w:t>
      </w:r>
      <w:r w:rsidR="00703CCE">
        <w:rPr>
          <w:rFonts w:ascii="Times New Roman" w:hAnsi="Times New Roman" w:cs="Times New Roman"/>
          <w:sz w:val="24"/>
          <w:szCs w:val="24"/>
        </w:rPr>
        <w:t>,</w:t>
      </w:r>
      <w:r w:rsidR="00B97C62">
        <w:rPr>
          <w:rFonts w:ascii="Times New Roman" w:hAnsi="Times New Roman" w:cs="Times New Roman"/>
          <w:sz w:val="24"/>
          <w:szCs w:val="24"/>
        </w:rPr>
        <w:t xml:space="preserve"> can and do give evidence remotely as a matter of routine.  I accept it may not be the perfect scenario.  However, I do not see why they cannot give evidence remotely and why that would be unfair.  If they wish to give evidence from Scotland</w:t>
      </w:r>
      <w:r w:rsidR="006B7745">
        <w:rPr>
          <w:rFonts w:ascii="Times New Roman" w:hAnsi="Times New Roman" w:cs="Times New Roman"/>
          <w:sz w:val="24"/>
          <w:szCs w:val="24"/>
        </w:rPr>
        <w:t xml:space="preserve"> and, presently, nobody has told me of an impediment to do that in terms of any permissions required</w:t>
      </w:r>
      <w:r w:rsidR="009C3F73">
        <w:rPr>
          <w:rFonts w:ascii="Times New Roman" w:hAnsi="Times New Roman" w:cs="Times New Roman"/>
          <w:sz w:val="24"/>
          <w:szCs w:val="24"/>
        </w:rPr>
        <w:t>,</w:t>
      </w:r>
      <w:r w:rsidR="006B7745">
        <w:rPr>
          <w:rFonts w:ascii="Times New Roman" w:hAnsi="Times New Roman" w:cs="Times New Roman"/>
          <w:sz w:val="24"/>
          <w:szCs w:val="24"/>
        </w:rPr>
        <w:t xml:space="preserve"> or local law, there is no reason, for example, why they could not do so gathered in one place where there can be assistance, if thought appropriate, given by a local lawyer.  It is the party who needs to give the instructions.  There is no reason why it would be disproportionate for somebody from the party to attend in Leeds.  If all of the </w:t>
      </w:r>
      <w:r w:rsidR="00393A31">
        <w:rPr>
          <w:rFonts w:ascii="Times New Roman" w:hAnsi="Times New Roman" w:cs="Times New Roman"/>
          <w:sz w:val="24"/>
          <w:szCs w:val="24"/>
        </w:rPr>
        <w:t>witnesses wish to be appraised of what is going on in court, though I am not convinced that that would be necessary, there is no reason why the proceedings could not be watched by them in Edinburgh and instructions given.  Indeed, in some ways, given that, presumably, they would be on mute while they were doing that, it might be easier for them to give instructions to a solicitor attending them locally, even if that were to be a relatively junior lawyer.</w:t>
      </w:r>
    </w:p>
    <w:p w14:paraId="2BFDA401" w14:textId="7BA64519" w:rsidR="009F1FD0" w:rsidRDefault="00393A31" w:rsidP="002736AC">
      <w:pPr>
        <w:pStyle w:val="ListParagraph"/>
        <w:numPr>
          <w:ilvl w:val="0"/>
          <w:numId w:val="1"/>
        </w:numPr>
        <w:spacing w:line="240" w:lineRule="auto"/>
        <w:ind w:left="567" w:right="106" w:hanging="567"/>
        <w:jc w:val="both"/>
        <w:rPr>
          <w:rFonts w:ascii="Times New Roman" w:hAnsi="Times New Roman" w:cs="Times New Roman"/>
          <w:sz w:val="24"/>
          <w:szCs w:val="24"/>
        </w:rPr>
      </w:pPr>
      <w:r>
        <w:rPr>
          <w:rFonts w:ascii="Times New Roman" w:hAnsi="Times New Roman" w:cs="Times New Roman"/>
          <w:sz w:val="24"/>
          <w:szCs w:val="24"/>
        </w:rPr>
        <w:t>Giving evidence remotely would also minimise their absence from the business, thus, rendering the whole process rather cheaper for the defendant.  I say that because it is only an estimate at present but the parties are both suggesting, it seems to me, that this is likely to be a one-day hearing.  If there are eight witnesses and a judgment to be given, the evidence is not going to take very</w:t>
      </w:r>
      <w:r w:rsidR="009F1FD0">
        <w:rPr>
          <w:rFonts w:ascii="Times New Roman" w:hAnsi="Times New Roman" w:cs="Times New Roman"/>
          <w:sz w:val="24"/>
          <w:szCs w:val="24"/>
        </w:rPr>
        <w:t xml:space="preserve"> long from any of them.  It </w:t>
      </w:r>
      <w:r w:rsidR="00247037">
        <w:rPr>
          <w:rFonts w:ascii="Times New Roman" w:hAnsi="Times New Roman" w:cs="Times New Roman"/>
          <w:sz w:val="24"/>
          <w:szCs w:val="24"/>
        </w:rPr>
        <w:t>might</w:t>
      </w:r>
      <w:r w:rsidR="009F1FD0">
        <w:rPr>
          <w:rFonts w:ascii="Times New Roman" w:hAnsi="Times New Roman" w:cs="Times New Roman"/>
          <w:sz w:val="24"/>
          <w:szCs w:val="24"/>
        </w:rPr>
        <w:t xml:space="preserve"> be, </w:t>
      </w:r>
      <w:r w:rsidR="00A30B0D">
        <w:rPr>
          <w:rFonts w:ascii="Times New Roman" w:hAnsi="Times New Roman" w:cs="Times New Roman"/>
          <w:sz w:val="24"/>
          <w:szCs w:val="24"/>
        </w:rPr>
        <w:t xml:space="preserve">that I am not sure I necessarily accept this, </w:t>
      </w:r>
      <w:r w:rsidR="009F1FD0">
        <w:rPr>
          <w:rFonts w:ascii="Times New Roman" w:hAnsi="Times New Roman" w:cs="Times New Roman"/>
          <w:sz w:val="24"/>
          <w:szCs w:val="24"/>
        </w:rPr>
        <w:t>disproportionate for them all to come to Leeds.  They can easily give brief evidence by remote video link and, if they so wish, and their employer is happy for them to do so, watch the entire day by that means.</w:t>
      </w:r>
      <w:r w:rsidR="00B07218">
        <w:rPr>
          <w:rFonts w:ascii="Times New Roman" w:hAnsi="Times New Roman" w:cs="Times New Roman"/>
          <w:sz w:val="24"/>
          <w:szCs w:val="24"/>
        </w:rPr>
        <w:t xml:space="preserve">  </w:t>
      </w:r>
      <w:r w:rsidR="009F1FD0" w:rsidRPr="006C15C8">
        <w:rPr>
          <w:rFonts w:ascii="Times New Roman" w:hAnsi="Times New Roman" w:cs="Times New Roman"/>
          <w:sz w:val="24"/>
          <w:szCs w:val="24"/>
        </w:rPr>
        <w:t xml:space="preserve">I do not attach great weight to the idea that one of the defendant’s seven witnesses is not an employee and may not come if it is required to give evidence in Leeds.  Firstly, I see no reason </w:t>
      </w:r>
      <w:r w:rsidR="00B03553">
        <w:rPr>
          <w:rFonts w:ascii="Times New Roman" w:hAnsi="Times New Roman" w:cs="Times New Roman"/>
          <w:sz w:val="24"/>
          <w:szCs w:val="24"/>
        </w:rPr>
        <w:t xml:space="preserve">why </w:t>
      </w:r>
      <w:r w:rsidR="009F1FD0" w:rsidRPr="006C15C8">
        <w:rPr>
          <w:rFonts w:ascii="Times New Roman" w:hAnsi="Times New Roman" w:cs="Times New Roman"/>
          <w:sz w:val="24"/>
          <w:szCs w:val="24"/>
        </w:rPr>
        <w:t>they cannot give evidence by remote means and, if there are difficulties with that, then there is a procedure for summonsing them.</w:t>
      </w:r>
    </w:p>
    <w:p w14:paraId="714222F0" w14:textId="77777777" w:rsidR="00504140" w:rsidRDefault="00B07218" w:rsidP="002736AC">
      <w:pPr>
        <w:pStyle w:val="ListParagraph"/>
        <w:numPr>
          <w:ilvl w:val="0"/>
          <w:numId w:val="1"/>
        </w:numPr>
        <w:spacing w:line="240" w:lineRule="auto"/>
        <w:ind w:left="567" w:right="106" w:hanging="567"/>
        <w:jc w:val="both"/>
        <w:rPr>
          <w:rFonts w:ascii="Times New Roman" w:hAnsi="Times New Roman" w:cs="Times New Roman"/>
          <w:sz w:val="24"/>
          <w:szCs w:val="24"/>
        </w:rPr>
      </w:pPr>
      <w:r>
        <w:rPr>
          <w:rFonts w:ascii="Times New Roman" w:hAnsi="Times New Roman" w:cs="Times New Roman"/>
          <w:sz w:val="24"/>
          <w:szCs w:val="24"/>
        </w:rPr>
        <w:t xml:space="preserve">The giving of evidence remotely by the defendant’s witnesses minimises travel costs for everybody, helps to increase the probability that Mr Paulley can give his best evidence and minimises the disruption and expense to the defendant at what I regard as a minimal disadvantage in the quality of the evidence and ability to give instructions insofar as witnesses might </w:t>
      </w:r>
      <w:r w:rsidR="00B03553">
        <w:rPr>
          <w:rFonts w:ascii="Times New Roman" w:hAnsi="Times New Roman" w:cs="Times New Roman"/>
          <w:sz w:val="24"/>
          <w:szCs w:val="24"/>
        </w:rPr>
        <w:t xml:space="preserve">be </w:t>
      </w:r>
      <w:r>
        <w:rPr>
          <w:rFonts w:ascii="Times New Roman" w:hAnsi="Times New Roman" w:cs="Times New Roman"/>
          <w:sz w:val="24"/>
          <w:szCs w:val="24"/>
        </w:rPr>
        <w:t xml:space="preserve">participating in that.  </w:t>
      </w:r>
    </w:p>
    <w:p w14:paraId="55F6D88F" w14:textId="7987FEAD" w:rsidR="00B07218" w:rsidRPr="006C15C8" w:rsidRDefault="00B07218" w:rsidP="002736AC">
      <w:pPr>
        <w:pStyle w:val="ListParagraph"/>
        <w:numPr>
          <w:ilvl w:val="0"/>
          <w:numId w:val="1"/>
        </w:numPr>
        <w:spacing w:line="240" w:lineRule="auto"/>
        <w:ind w:left="567" w:right="106" w:hanging="567"/>
        <w:jc w:val="both"/>
        <w:rPr>
          <w:rFonts w:ascii="Times New Roman" w:hAnsi="Times New Roman" w:cs="Times New Roman"/>
          <w:sz w:val="24"/>
          <w:szCs w:val="24"/>
        </w:rPr>
      </w:pPr>
      <w:r>
        <w:rPr>
          <w:rFonts w:ascii="Times New Roman" w:hAnsi="Times New Roman" w:cs="Times New Roman"/>
          <w:sz w:val="24"/>
          <w:szCs w:val="24"/>
        </w:rPr>
        <w:t xml:space="preserve">In short, I consider that a fair hearing within the meaning of the overriding objective and its subcomponents can occur in this </w:t>
      </w:r>
      <w:r w:rsidR="00C67D44">
        <w:rPr>
          <w:rFonts w:ascii="Times New Roman" w:hAnsi="Times New Roman" w:cs="Times New Roman"/>
          <w:sz w:val="24"/>
          <w:szCs w:val="24"/>
        </w:rPr>
        <w:t>jurisdiction</w:t>
      </w:r>
      <w:r>
        <w:rPr>
          <w:rFonts w:ascii="Times New Roman" w:hAnsi="Times New Roman" w:cs="Times New Roman"/>
          <w:sz w:val="24"/>
          <w:szCs w:val="24"/>
        </w:rPr>
        <w:t xml:space="preserve"> and, since the Court has jurisdiction, I, therefore, find that there is no reason why I should decline to exercise it.  </w:t>
      </w:r>
      <w:r w:rsidRPr="006C15C8">
        <w:rPr>
          <w:rFonts w:ascii="Times New Roman" w:hAnsi="Times New Roman" w:cs="Times New Roman"/>
          <w:sz w:val="24"/>
          <w:szCs w:val="24"/>
        </w:rPr>
        <w:t>For those reasons,</w:t>
      </w:r>
      <w:r w:rsidR="00286173" w:rsidRPr="006C15C8">
        <w:rPr>
          <w:rFonts w:ascii="Times New Roman" w:hAnsi="Times New Roman" w:cs="Times New Roman"/>
          <w:sz w:val="24"/>
          <w:szCs w:val="24"/>
        </w:rPr>
        <w:t xml:space="preserve"> I decline to accede to the defendant’s application and, instead, I will give a direction for a defence.  I will observe that there was an order requiring Mr Paulley to file evidence that he had notified the Equality and Human Rights Commission </w:t>
      </w:r>
      <w:r w:rsidR="006F5BF1" w:rsidRPr="006C15C8">
        <w:rPr>
          <w:rFonts w:ascii="Times New Roman" w:hAnsi="Times New Roman" w:cs="Times New Roman"/>
          <w:sz w:val="24"/>
          <w:szCs w:val="24"/>
        </w:rPr>
        <w:t>of his claim.  He may well have done. I just have not seen it yet, and, perhaps he can tell me when he did it.</w:t>
      </w:r>
    </w:p>
    <w:p w14:paraId="1D31E12C" w14:textId="19A0434B" w:rsidR="000078FB" w:rsidRDefault="000078FB" w:rsidP="002736AC">
      <w:pPr>
        <w:pStyle w:val="ListParagraph"/>
        <w:spacing w:line="240" w:lineRule="auto"/>
        <w:ind w:left="567" w:right="106"/>
        <w:jc w:val="center"/>
        <w:rPr>
          <w:rFonts w:ascii="Times New Roman" w:hAnsi="Times New Roman" w:cs="Times New Roman"/>
          <w:b/>
          <w:bCs/>
          <w:sz w:val="24"/>
          <w:szCs w:val="24"/>
        </w:rPr>
      </w:pPr>
      <w:r>
        <w:rPr>
          <w:rFonts w:ascii="Times New Roman" w:hAnsi="Times New Roman" w:cs="Times New Roman"/>
          <w:b/>
          <w:bCs/>
          <w:sz w:val="24"/>
          <w:szCs w:val="24"/>
        </w:rPr>
        <w:t>End of Judgment.</w:t>
      </w:r>
    </w:p>
    <w:p w14:paraId="34424570" w14:textId="77777777" w:rsidR="000078FB" w:rsidRDefault="000078FB">
      <w:pPr>
        <w:rPr>
          <w:rFonts w:ascii="Times New Roman" w:hAnsi="Times New Roman" w:cs="Times New Roman"/>
          <w:b/>
          <w:bCs/>
          <w:sz w:val="24"/>
          <w:szCs w:val="24"/>
        </w:rPr>
      </w:pPr>
      <w:r>
        <w:rPr>
          <w:rFonts w:ascii="Times New Roman" w:hAnsi="Times New Roman" w:cs="Times New Roman"/>
          <w:b/>
          <w:bCs/>
          <w:sz w:val="24"/>
          <w:szCs w:val="24"/>
        </w:rPr>
        <w:br w:type="page"/>
      </w:r>
    </w:p>
    <w:p w14:paraId="0EE59C0C" w14:textId="39B827CF" w:rsidR="000078FB" w:rsidRDefault="000078FB" w:rsidP="00F8003B">
      <w:pPr>
        <w:pStyle w:val="ListParagraph"/>
        <w:spacing w:line="240" w:lineRule="auto"/>
        <w:ind w:left="567" w:right="106"/>
        <w:jc w:val="center"/>
        <w:rPr>
          <w:rFonts w:ascii="Times New Roman" w:hAnsi="Times New Roman" w:cs="Times New Roman"/>
          <w:sz w:val="24"/>
          <w:szCs w:val="24"/>
        </w:rPr>
      </w:pPr>
      <w:r>
        <w:rPr>
          <w:rFonts w:ascii="Times New Roman" w:hAnsi="Times New Roman" w:cs="Times New Roman"/>
          <w:sz w:val="24"/>
          <w:szCs w:val="24"/>
        </w:rPr>
        <w:lastRenderedPageBreak/>
        <w:t>Transcript of a recording by Ubiqus</w:t>
      </w:r>
      <w:r w:rsidR="006B4427">
        <w:rPr>
          <w:rFonts w:ascii="Times New Roman" w:hAnsi="Times New Roman" w:cs="Times New Roman"/>
          <w:sz w:val="24"/>
          <w:szCs w:val="24"/>
        </w:rPr>
        <w:t xml:space="preserve"> (Acolad UK Ltd)</w:t>
      </w:r>
    </w:p>
    <w:p w14:paraId="7E5E0C4D" w14:textId="0917027B" w:rsidR="000078FB" w:rsidRDefault="000078FB" w:rsidP="00F8003B">
      <w:pPr>
        <w:pStyle w:val="ListParagraph"/>
        <w:spacing w:line="240" w:lineRule="auto"/>
        <w:ind w:left="567" w:right="106"/>
        <w:jc w:val="center"/>
        <w:rPr>
          <w:rFonts w:ascii="Times New Roman" w:hAnsi="Times New Roman" w:cs="Times New Roman"/>
          <w:sz w:val="24"/>
          <w:szCs w:val="24"/>
        </w:rPr>
      </w:pPr>
      <w:r>
        <w:rPr>
          <w:rFonts w:ascii="Times New Roman" w:hAnsi="Times New Roman" w:cs="Times New Roman"/>
          <w:sz w:val="24"/>
          <w:szCs w:val="24"/>
        </w:rPr>
        <w:t xml:space="preserve">291-299 Borough High Street, London SE1 </w:t>
      </w:r>
      <w:r w:rsidR="00F8003B">
        <w:rPr>
          <w:rFonts w:ascii="Times New Roman" w:hAnsi="Times New Roman" w:cs="Times New Roman"/>
          <w:sz w:val="24"/>
          <w:szCs w:val="24"/>
        </w:rPr>
        <w:t>1JG</w:t>
      </w:r>
    </w:p>
    <w:p w14:paraId="52C6D9C3" w14:textId="20DBFF5C" w:rsidR="00F8003B" w:rsidRDefault="00F8003B" w:rsidP="00F8003B">
      <w:pPr>
        <w:pStyle w:val="ListParagraph"/>
        <w:spacing w:line="240" w:lineRule="auto"/>
        <w:ind w:left="567" w:right="106"/>
        <w:jc w:val="center"/>
        <w:rPr>
          <w:rFonts w:ascii="Times New Roman" w:hAnsi="Times New Roman" w:cs="Times New Roman"/>
          <w:sz w:val="24"/>
          <w:szCs w:val="24"/>
        </w:rPr>
      </w:pPr>
      <w:r>
        <w:rPr>
          <w:rFonts w:ascii="Times New Roman" w:hAnsi="Times New Roman" w:cs="Times New Roman"/>
          <w:sz w:val="24"/>
          <w:szCs w:val="24"/>
        </w:rPr>
        <w:t>Tel: 020 7269 0370</w:t>
      </w:r>
    </w:p>
    <w:p w14:paraId="32E02080" w14:textId="5C0B2E8F" w:rsidR="00F8003B" w:rsidRDefault="00F8003B" w:rsidP="00F8003B">
      <w:pPr>
        <w:pStyle w:val="ListParagraph"/>
        <w:spacing w:line="240" w:lineRule="auto"/>
        <w:ind w:left="567" w:right="106"/>
        <w:jc w:val="center"/>
        <w:rPr>
          <w:rFonts w:ascii="Times New Roman" w:hAnsi="Times New Roman" w:cs="Times New Roman"/>
          <w:sz w:val="24"/>
          <w:szCs w:val="24"/>
        </w:rPr>
      </w:pPr>
      <w:r w:rsidRPr="00F8003B">
        <w:rPr>
          <w:rFonts w:ascii="Times New Roman" w:hAnsi="Times New Roman" w:cs="Times New Roman"/>
          <w:sz w:val="24"/>
          <w:szCs w:val="24"/>
        </w:rPr>
        <w:t>legal@ubiqus.com</w:t>
      </w:r>
    </w:p>
    <w:p w14:paraId="0963D04B" w14:textId="0B3F092E" w:rsidR="00F8003B" w:rsidRDefault="00F8003B" w:rsidP="00F8003B">
      <w:pPr>
        <w:pStyle w:val="ListParagraph"/>
        <w:spacing w:line="240" w:lineRule="auto"/>
        <w:ind w:left="567" w:right="106"/>
        <w:jc w:val="center"/>
        <w:rPr>
          <w:rFonts w:ascii="Times New Roman" w:hAnsi="Times New Roman" w:cs="Times New Roman"/>
          <w:sz w:val="24"/>
          <w:szCs w:val="24"/>
        </w:rPr>
      </w:pPr>
    </w:p>
    <w:p w14:paraId="0C4FD865" w14:textId="7C04F1AD" w:rsidR="00F8003B" w:rsidRDefault="00F8003B" w:rsidP="00F8003B">
      <w:pPr>
        <w:pStyle w:val="ListParagraph"/>
        <w:spacing w:line="240" w:lineRule="auto"/>
        <w:ind w:left="567" w:right="106"/>
        <w:jc w:val="center"/>
        <w:rPr>
          <w:rFonts w:ascii="Times New Roman" w:hAnsi="Times New Roman" w:cs="Times New Roman"/>
          <w:sz w:val="24"/>
          <w:szCs w:val="24"/>
        </w:rPr>
      </w:pPr>
      <w:r>
        <w:rPr>
          <w:rFonts w:ascii="Times New Roman" w:hAnsi="Times New Roman" w:cs="Times New Roman"/>
          <w:sz w:val="24"/>
          <w:szCs w:val="24"/>
        </w:rPr>
        <w:t>Ubiqus</w:t>
      </w:r>
      <w:r w:rsidR="00D91364">
        <w:rPr>
          <w:rFonts w:ascii="Times New Roman" w:hAnsi="Times New Roman" w:cs="Times New Roman"/>
          <w:sz w:val="24"/>
          <w:szCs w:val="24"/>
        </w:rPr>
        <w:t xml:space="preserve"> (Acolad UK Ltd)</w:t>
      </w:r>
      <w:r>
        <w:rPr>
          <w:rFonts w:ascii="Times New Roman" w:hAnsi="Times New Roman" w:cs="Times New Roman"/>
          <w:sz w:val="24"/>
          <w:szCs w:val="24"/>
        </w:rPr>
        <w:t xml:space="preserve"> hereby certify that the above is an accurate and complete record of the proceedings or part thereof</w:t>
      </w:r>
    </w:p>
    <w:p w14:paraId="10ADB255"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5EEACDE6"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5622BE0D"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2A2CBD70"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7DC64352"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5262761F"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75590D1A"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07ED6AEB"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2FCA8932"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36617270"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0CBFE72B"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4FFFB4AB"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14D7D4DE"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2D3AF88F"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1F9F304D"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391307AC"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45AA071B"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63B53033"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5E93A889"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0BD466FB"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264B577C"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3550C92D"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52E83CD9"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0904C578"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17399168"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12229746"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5359D536"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3D7416BA"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61B2D4F9"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56F86597"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43404C02"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59CF213F"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51242642"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105A34B5"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1D44220A"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31F6AABD"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417FB989"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2945BED4"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40FBF5F0"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0F05ADE9"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1A5C04D1" w14:textId="77777777" w:rsidR="002736AC" w:rsidRDefault="002736AC" w:rsidP="00F8003B">
      <w:pPr>
        <w:pStyle w:val="ListParagraph"/>
        <w:spacing w:line="240" w:lineRule="auto"/>
        <w:ind w:left="567" w:right="106"/>
        <w:jc w:val="center"/>
        <w:rPr>
          <w:rFonts w:ascii="Times New Roman" w:hAnsi="Times New Roman" w:cs="Times New Roman"/>
          <w:sz w:val="24"/>
          <w:szCs w:val="24"/>
        </w:rPr>
      </w:pPr>
    </w:p>
    <w:p w14:paraId="036DD85E" w14:textId="431F5220" w:rsidR="002736AC" w:rsidRPr="000078FB" w:rsidRDefault="002736AC" w:rsidP="00F8003B">
      <w:pPr>
        <w:pStyle w:val="ListParagraph"/>
        <w:spacing w:line="240" w:lineRule="auto"/>
        <w:ind w:left="567" w:right="106"/>
        <w:jc w:val="center"/>
        <w:rPr>
          <w:rFonts w:ascii="Times New Roman" w:hAnsi="Times New Roman" w:cs="Times New Roman"/>
          <w:sz w:val="24"/>
          <w:szCs w:val="24"/>
        </w:rPr>
      </w:pPr>
      <w:r>
        <w:rPr>
          <w:rFonts w:ascii="Times New Roman" w:hAnsi="Times New Roman" w:cs="Times New Roman"/>
          <w:sz w:val="24"/>
          <w:szCs w:val="24"/>
        </w:rPr>
        <w:t>This transcript has been approved by the judge.</w:t>
      </w:r>
    </w:p>
    <w:sectPr w:rsidR="002736AC" w:rsidRPr="000078FB" w:rsidSect="00865F2E">
      <w:footerReference w:type="default" r:id="rId7"/>
      <w:pgSz w:w="11906" w:h="16838"/>
      <w:pgMar w:top="-1729" w:right="862" w:bottom="720" w:left="1440"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43D9" w14:textId="77777777" w:rsidR="00DD4853" w:rsidRDefault="00DD4853" w:rsidP="00E962EE">
      <w:pPr>
        <w:spacing w:after="0" w:line="240" w:lineRule="auto"/>
      </w:pPr>
      <w:r>
        <w:separator/>
      </w:r>
    </w:p>
  </w:endnote>
  <w:endnote w:type="continuationSeparator" w:id="0">
    <w:p w14:paraId="2F40B128" w14:textId="77777777" w:rsidR="00DD4853" w:rsidRDefault="00DD4853" w:rsidP="00E96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362136"/>
      <w:docPartObj>
        <w:docPartGallery w:val="Page Numbers (Bottom of Page)"/>
        <w:docPartUnique/>
      </w:docPartObj>
    </w:sdtPr>
    <w:sdtEndPr>
      <w:rPr>
        <w:rFonts w:ascii="Times New Roman" w:hAnsi="Times New Roman" w:cs="Times New Roman"/>
        <w:noProof/>
      </w:rPr>
    </w:sdtEndPr>
    <w:sdtContent>
      <w:p w14:paraId="4D4E5F2C" w14:textId="438B95E0" w:rsidR="00E962EE" w:rsidRPr="00E962EE" w:rsidRDefault="00E962EE">
        <w:pPr>
          <w:pStyle w:val="Footer"/>
          <w:jc w:val="center"/>
          <w:rPr>
            <w:rFonts w:ascii="Times New Roman" w:hAnsi="Times New Roman" w:cs="Times New Roman"/>
          </w:rPr>
        </w:pPr>
        <w:r w:rsidRPr="00E962EE">
          <w:rPr>
            <w:rFonts w:ascii="Times New Roman" w:hAnsi="Times New Roman" w:cs="Times New Roman"/>
          </w:rPr>
          <w:fldChar w:fldCharType="begin"/>
        </w:r>
        <w:r w:rsidRPr="00E962EE">
          <w:rPr>
            <w:rFonts w:ascii="Times New Roman" w:hAnsi="Times New Roman" w:cs="Times New Roman"/>
          </w:rPr>
          <w:instrText xml:space="preserve"> PAGE   \* MERGEFORMAT </w:instrText>
        </w:r>
        <w:r w:rsidRPr="00E962EE">
          <w:rPr>
            <w:rFonts w:ascii="Times New Roman" w:hAnsi="Times New Roman" w:cs="Times New Roman"/>
          </w:rPr>
          <w:fldChar w:fldCharType="separate"/>
        </w:r>
        <w:r w:rsidRPr="00E962EE">
          <w:rPr>
            <w:rFonts w:ascii="Times New Roman" w:hAnsi="Times New Roman" w:cs="Times New Roman"/>
            <w:noProof/>
          </w:rPr>
          <w:t>2</w:t>
        </w:r>
        <w:r w:rsidRPr="00E962EE">
          <w:rPr>
            <w:rFonts w:ascii="Times New Roman" w:hAnsi="Times New Roman" w:cs="Times New Roman"/>
            <w:noProof/>
          </w:rPr>
          <w:fldChar w:fldCharType="end"/>
        </w:r>
      </w:p>
    </w:sdtContent>
  </w:sdt>
  <w:p w14:paraId="65D60A46" w14:textId="77777777" w:rsidR="00E962EE" w:rsidRDefault="00E96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61B23" w14:textId="77777777" w:rsidR="00DD4853" w:rsidRDefault="00DD4853" w:rsidP="00E962EE">
      <w:pPr>
        <w:spacing w:after="0" w:line="240" w:lineRule="auto"/>
      </w:pPr>
      <w:r>
        <w:separator/>
      </w:r>
    </w:p>
  </w:footnote>
  <w:footnote w:type="continuationSeparator" w:id="0">
    <w:p w14:paraId="7477785B" w14:textId="77777777" w:rsidR="00DD4853" w:rsidRDefault="00DD4853" w:rsidP="00E96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6705"/>
    <w:multiLevelType w:val="hybridMultilevel"/>
    <w:tmpl w:val="19ECCC42"/>
    <w:lvl w:ilvl="0" w:tplc="9AAC5C6C">
      <w:start w:val="1"/>
      <w:numFmt w:val="lowerRoman"/>
      <w:lvlText w:val="(%1)"/>
      <w:lvlJc w:val="left"/>
      <w:pPr>
        <w:ind w:left="3348" w:hanging="72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 w15:restartNumberingAfterBreak="0">
    <w:nsid w:val="33613AD2"/>
    <w:multiLevelType w:val="hybridMultilevel"/>
    <w:tmpl w:val="82324FF6"/>
    <w:lvl w:ilvl="0" w:tplc="1F56A10A">
      <w:start w:val="1"/>
      <w:numFmt w:val="decimal"/>
      <w:lvlText w:val="%1."/>
      <w:lvlJc w:val="left"/>
      <w:pPr>
        <w:ind w:left="1065" w:hanging="70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B73152A"/>
    <w:multiLevelType w:val="hybridMultilevel"/>
    <w:tmpl w:val="5CB62570"/>
    <w:lvl w:ilvl="0" w:tplc="C2CC9882">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3" w15:restartNumberingAfterBreak="0">
    <w:nsid w:val="6FFF61D8"/>
    <w:multiLevelType w:val="hybridMultilevel"/>
    <w:tmpl w:val="A9407636"/>
    <w:lvl w:ilvl="0" w:tplc="8076D69C">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4" w15:restartNumberingAfterBreak="0">
    <w:nsid w:val="73CA6DBE"/>
    <w:multiLevelType w:val="hybridMultilevel"/>
    <w:tmpl w:val="A9E2C198"/>
    <w:lvl w:ilvl="0" w:tplc="E02C9F66">
      <w:start w:val="1"/>
      <w:numFmt w:val="lowerLetter"/>
      <w:lvlText w:val="(%1)"/>
      <w:lvlJc w:val="left"/>
      <w:pPr>
        <w:ind w:left="2628" w:hanging="360"/>
      </w:pPr>
      <w:rPr>
        <w:rFonts w:hint="default"/>
      </w:rPr>
    </w:lvl>
    <w:lvl w:ilvl="1" w:tplc="08090019">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5" w15:restartNumberingAfterBreak="0">
    <w:nsid w:val="7A2B0663"/>
    <w:multiLevelType w:val="hybridMultilevel"/>
    <w:tmpl w:val="6608DEE2"/>
    <w:lvl w:ilvl="0" w:tplc="F788A5E8">
      <w:start w:val="5"/>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num w:numId="1" w16cid:durableId="517889063">
    <w:abstractNumId w:val="1"/>
  </w:num>
  <w:num w:numId="2" w16cid:durableId="679157634">
    <w:abstractNumId w:val="4"/>
  </w:num>
  <w:num w:numId="3" w16cid:durableId="1787037124">
    <w:abstractNumId w:val="2"/>
  </w:num>
  <w:num w:numId="4" w16cid:durableId="152796454">
    <w:abstractNumId w:val="5"/>
  </w:num>
  <w:num w:numId="5" w16cid:durableId="990476757">
    <w:abstractNumId w:val="3"/>
  </w:num>
  <w:num w:numId="6" w16cid:durableId="1147285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EE"/>
    <w:rsid w:val="000078FB"/>
    <w:rsid w:val="00007C63"/>
    <w:rsid w:val="00052A18"/>
    <w:rsid w:val="00062E96"/>
    <w:rsid w:val="001374A2"/>
    <w:rsid w:val="0014092D"/>
    <w:rsid w:val="00166107"/>
    <w:rsid w:val="00191A03"/>
    <w:rsid w:val="001A4689"/>
    <w:rsid w:val="001B3A0B"/>
    <w:rsid w:val="001E1247"/>
    <w:rsid w:val="001E4C42"/>
    <w:rsid w:val="001F57EE"/>
    <w:rsid w:val="00204C9A"/>
    <w:rsid w:val="0023318E"/>
    <w:rsid w:val="00242B76"/>
    <w:rsid w:val="00247037"/>
    <w:rsid w:val="00261D29"/>
    <w:rsid w:val="00270E8D"/>
    <w:rsid w:val="002736AC"/>
    <w:rsid w:val="002812C3"/>
    <w:rsid w:val="00286173"/>
    <w:rsid w:val="002975DE"/>
    <w:rsid w:val="002B5CFA"/>
    <w:rsid w:val="002D5662"/>
    <w:rsid w:val="002E2005"/>
    <w:rsid w:val="002E20E6"/>
    <w:rsid w:val="00305660"/>
    <w:rsid w:val="00310486"/>
    <w:rsid w:val="00333E69"/>
    <w:rsid w:val="00335953"/>
    <w:rsid w:val="00370C5E"/>
    <w:rsid w:val="00392D2A"/>
    <w:rsid w:val="00393A31"/>
    <w:rsid w:val="003A1871"/>
    <w:rsid w:val="003A68DC"/>
    <w:rsid w:val="003D2B0B"/>
    <w:rsid w:val="003E45BD"/>
    <w:rsid w:val="00417215"/>
    <w:rsid w:val="004271CE"/>
    <w:rsid w:val="004343FE"/>
    <w:rsid w:val="00436CF4"/>
    <w:rsid w:val="00451199"/>
    <w:rsid w:val="0048078A"/>
    <w:rsid w:val="00480E34"/>
    <w:rsid w:val="004833EB"/>
    <w:rsid w:val="004B2A67"/>
    <w:rsid w:val="004D1D0D"/>
    <w:rsid w:val="004F0A5E"/>
    <w:rsid w:val="00501F29"/>
    <w:rsid w:val="00504140"/>
    <w:rsid w:val="00545444"/>
    <w:rsid w:val="005518FB"/>
    <w:rsid w:val="0057133A"/>
    <w:rsid w:val="00575A2E"/>
    <w:rsid w:val="00576BA5"/>
    <w:rsid w:val="005820C8"/>
    <w:rsid w:val="005824D6"/>
    <w:rsid w:val="005900D1"/>
    <w:rsid w:val="005A79BA"/>
    <w:rsid w:val="005C474F"/>
    <w:rsid w:val="005D3B53"/>
    <w:rsid w:val="00642B04"/>
    <w:rsid w:val="0064334C"/>
    <w:rsid w:val="00676A25"/>
    <w:rsid w:val="006B4427"/>
    <w:rsid w:val="006B7745"/>
    <w:rsid w:val="006C15C8"/>
    <w:rsid w:val="006E4579"/>
    <w:rsid w:val="006F4879"/>
    <w:rsid w:val="006F5BF1"/>
    <w:rsid w:val="006F6EBF"/>
    <w:rsid w:val="006F74D4"/>
    <w:rsid w:val="00703CCE"/>
    <w:rsid w:val="0070546C"/>
    <w:rsid w:val="007067DF"/>
    <w:rsid w:val="0075500E"/>
    <w:rsid w:val="00766EBE"/>
    <w:rsid w:val="00774653"/>
    <w:rsid w:val="00780B28"/>
    <w:rsid w:val="007A2FD1"/>
    <w:rsid w:val="007B7D11"/>
    <w:rsid w:val="007C05BA"/>
    <w:rsid w:val="0080542E"/>
    <w:rsid w:val="0080556F"/>
    <w:rsid w:val="00806685"/>
    <w:rsid w:val="00807D69"/>
    <w:rsid w:val="00817053"/>
    <w:rsid w:val="008245C6"/>
    <w:rsid w:val="00824A52"/>
    <w:rsid w:val="00837E8E"/>
    <w:rsid w:val="008516C0"/>
    <w:rsid w:val="00865F2E"/>
    <w:rsid w:val="00867896"/>
    <w:rsid w:val="008D6084"/>
    <w:rsid w:val="008E53C3"/>
    <w:rsid w:val="00901ECA"/>
    <w:rsid w:val="009033EE"/>
    <w:rsid w:val="00907025"/>
    <w:rsid w:val="00942FFF"/>
    <w:rsid w:val="009573A4"/>
    <w:rsid w:val="00961374"/>
    <w:rsid w:val="009A457C"/>
    <w:rsid w:val="009B05B7"/>
    <w:rsid w:val="009B1D33"/>
    <w:rsid w:val="009C3F73"/>
    <w:rsid w:val="009D0EE9"/>
    <w:rsid w:val="009D5AC1"/>
    <w:rsid w:val="009F1FD0"/>
    <w:rsid w:val="009F7E54"/>
    <w:rsid w:val="00A11519"/>
    <w:rsid w:val="00A263E2"/>
    <w:rsid w:val="00A30B0D"/>
    <w:rsid w:val="00A37601"/>
    <w:rsid w:val="00A40750"/>
    <w:rsid w:val="00A44701"/>
    <w:rsid w:val="00A957C7"/>
    <w:rsid w:val="00AA2900"/>
    <w:rsid w:val="00AE15E0"/>
    <w:rsid w:val="00AE15E2"/>
    <w:rsid w:val="00B03553"/>
    <w:rsid w:val="00B07218"/>
    <w:rsid w:val="00B150CC"/>
    <w:rsid w:val="00B5200D"/>
    <w:rsid w:val="00B75F42"/>
    <w:rsid w:val="00B83D38"/>
    <w:rsid w:val="00B9313C"/>
    <w:rsid w:val="00B97C62"/>
    <w:rsid w:val="00BA51E4"/>
    <w:rsid w:val="00BA66A8"/>
    <w:rsid w:val="00BC293E"/>
    <w:rsid w:val="00BD2A2C"/>
    <w:rsid w:val="00BD377B"/>
    <w:rsid w:val="00BD3A4E"/>
    <w:rsid w:val="00BD6E85"/>
    <w:rsid w:val="00C20DDD"/>
    <w:rsid w:val="00C24528"/>
    <w:rsid w:val="00C26653"/>
    <w:rsid w:val="00C45443"/>
    <w:rsid w:val="00C67D44"/>
    <w:rsid w:val="00C717BE"/>
    <w:rsid w:val="00C80A96"/>
    <w:rsid w:val="00C91796"/>
    <w:rsid w:val="00CC029C"/>
    <w:rsid w:val="00CC703C"/>
    <w:rsid w:val="00CD349A"/>
    <w:rsid w:val="00CE4899"/>
    <w:rsid w:val="00CF6561"/>
    <w:rsid w:val="00D11588"/>
    <w:rsid w:val="00D32240"/>
    <w:rsid w:val="00D53598"/>
    <w:rsid w:val="00D771E5"/>
    <w:rsid w:val="00D81934"/>
    <w:rsid w:val="00D91364"/>
    <w:rsid w:val="00DA4CA9"/>
    <w:rsid w:val="00DC53FD"/>
    <w:rsid w:val="00DD4853"/>
    <w:rsid w:val="00DE3097"/>
    <w:rsid w:val="00E40BB4"/>
    <w:rsid w:val="00E430EA"/>
    <w:rsid w:val="00E47771"/>
    <w:rsid w:val="00E6377A"/>
    <w:rsid w:val="00E71F3A"/>
    <w:rsid w:val="00E731AF"/>
    <w:rsid w:val="00E74242"/>
    <w:rsid w:val="00E962EE"/>
    <w:rsid w:val="00EA5714"/>
    <w:rsid w:val="00EB77E8"/>
    <w:rsid w:val="00EC0AD4"/>
    <w:rsid w:val="00ED6EE5"/>
    <w:rsid w:val="00F01011"/>
    <w:rsid w:val="00F10F43"/>
    <w:rsid w:val="00F54821"/>
    <w:rsid w:val="00F8003B"/>
    <w:rsid w:val="00F8381C"/>
    <w:rsid w:val="00F850F4"/>
    <w:rsid w:val="00F87EC4"/>
    <w:rsid w:val="00FC2BA5"/>
    <w:rsid w:val="00FD31A5"/>
    <w:rsid w:val="00FD4D69"/>
    <w:rsid w:val="00FE256C"/>
    <w:rsid w:val="00FE318C"/>
    <w:rsid w:val="00FE3C95"/>
    <w:rsid w:val="00FF2605"/>
    <w:rsid w:val="00FF78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6F248"/>
  <w15:chartTrackingRefBased/>
  <w15:docId w15:val="{A867265C-E29E-4FC6-A60A-DFE60C15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62EE"/>
    <w:pPr>
      <w:spacing w:after="0" w:line="240" w:lineRule="auto"/>
    </w:pPr>
  </w:style>
  <w:style w:type="paragraph" w:styleId="Header">
    <w:name w:val="header"/>
    <w:basedOn w:val="Normal"/>
    <w:link w:val="HeaderChar"/>
    <w:unhideWhenUsed/>
    <w:rsid w:val="00E96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2EE"/>
  </w:style>
  <w:style w:type="paragraph" w:styleId="Footer">
    <w:name w:val="footer"/>
    <w:basedOn w:val="Normal"/>
    <w:link w:val="FooterChar"/>
    <w:uiPriority w:val="99"/>
    <w:unhideWhenUsed/>
    <w:rsid w:val="00E96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2EE"/>
  </w:style>
  <w:style w:type="paragraph" w:styleId="ListParagraph">
    <w:name w:val="List Paragraph"/>
    <w:basedOn w:val="Normal"/>
    <w:uiPriority w:val="34"/>
    <w:qFormat/>
    <w:rsid w:val="00ED6EE5"/>
    <w:pPr>
      <w:ind w:left="720"/>
      <w:contextualSpacing/>
    </w:pPr>
  </w:style>
  <w:style w:type="character" w:styleId="Hyperlink">
    <w:name w:val="Hyperlink"/>
    <w:basedOn w:val="DefaultParagraphFont"/>
    <w:uiPriority w:val="99"/>
    <w:unhideWhenUsed/>
    <w:rsid w:val="00F8003B"/>
    <w:rPr>
      <w:color w:val="0563C1" w:themeColor="hyperlink"/>
      <w:u w:val="single"/>
    </w:rPr>
  </w:style>
  <w:style w:type="character" w:styleId="UnresolvedMention">
    <w:name w:val="Unresolved Mention"/>
    <w:basedOn w:val="DefaultParagraphFont"/>
    <w:uiPriority w:val="99"/>
    <w:semiHidden/>
    <w:unhideWhenUsed/>
    <w:rsid w:val="00F8003B"/>
    <w:rPr>
      <w:color w:val="605E5C"/>
      <w:shd w:val="clear" w:color="auto" w:fill="E1DFDD"/>
    </w:rPr>
  </w:style>
  <w:style w:type="paragraph" w:styleId="Revision">
    <w:name w:val="Revision"/>
    <w:hidden/>
    <w:uiPriority w:val="99"/>
    <w:semiHidden/>
    <w:rsid w:val="00AE15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Samina</dc:creator>
  <cp:keywords/>
  <dc:description/>
  <cp:lastModifiedBy>MARTIN, Niamh</cp:lastModifiedBy>
  <cp:revision>2</cp:revision>
  <dcterms:created xsi:type="dcterms:W3CDTF">2024-01-03T14:03:00Z</dcterms:created>
  <dcterms:modified xsi:type="dcterms:W3CDTF">2024-01-03T14:03:00Z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f3d38d3477c92628d6113a2246ef48c37d4f406195265cba3cbd7e70ae9cddb3</vt:lpwstr>
  </property>
</Properties>
</file>