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74F" w:rsidRDefault="00EC074F" w:rsidP="00EC074F">
      <w:pPr>
        <w:pStyle w:val="Heading1"/>
        <w:spacing w:before="0"/>
      </w:pPr>
      <w:bookmarkStart w:id="0" w:name="_GoBack"/>
      <w:r>
        <w:t>CO/1864/2019</w:t>
      </w:r>
    </w:p>
    <w:bookmarkEnd w:id="0"/>
    <w:p w:rsidR="00EC074F" w:rsidRPr="00EC074F" w:rsidRDefault="00A45402" w:rsidP="00EC074F">
      <w:pPr>
        <w:pStyle w:val="Heading2"/>
        <w:spacing w:before="120" w:after="240"/>
      </w:pPr>
      <w:r>
        <w:t xml:space="preserve">In the High Court of Justice Queen's Bench Division Administrative Court </w:t>
      </w:r>
    </w:p>
    <w:p w:rsidR="00EC074F" w:rsidRPr="00EC074F" w:rsidRDefault="00A45402" w:rsidP="00EC074F">
      <w:pPr>
        <w:rPr>
          <w:b/>
        </w:rPr>
      </w:pPr>
      <w:r w:rsidRPr="00EC074F">
        <w:rPr>
          <w:b/>
        </w:rPr>
        <w:t xml:space="preserve">In the matter of an application tor Judicial </w:t>
      </w:r>
      <w:r w:rsidRPr="00EC074F">
        <w:rPr>
          <w:b/>
        </w:rPr>
        <w:t>Review</w:t>
      </w:r>
      <w:r w:rsidRPr="00EC074F">
        <w:rPr>
          <w:b/>
        </w:rPr>
        <w:t xml:space="preserve"> </w:t>
      </w:r>
    </w:p>
    <w:p w:rsidR="00EC074F" w:rsidRPr="00EC074F" w:rsidRDefault="00A45402" w:rsidP="00EC074F">
      <w:pPr>
        <w:rPr>
          <w:b/>
        </w:rPr>
      </w:pPr>
      <w:r w:rsidRPr="00EC074F">
        <w:rPr>
          <w:b/>
        </w:rPr>
        <w:t xml:space="preserve">The Queen on the application of ESTHER LOUISE LEIGHTON </w:t>
      </w:r>
    </w:p>
    <w:p w:rsidR="00A45402" w:rsidRPr="00EC074F" w:rsidRDefault="00A45402" w:rsidP="00EC074F">
      <w:pPr>
        <w:rPr>
          <w:b/>
        </w:rPr>
      </w:pPr>
      <w:r w:rsidRPr="00EC074F">
        <w:rPr>
          <w:b/>
        </w:rPr>
        <w:t xml:space="preserve">versus SECRETARY OF STATE FOR JUSTICE </w:t>
      </w:r>
    </w:p>
    <w:p w:rsidR="00A45402" w:rsidRDefault="00A45402" w:rsidP="00EC074F">
      <w:pPr>
        <w:pStyle w:val="Heading3"/>
        <w:spacing w:before="240"/>
      </w:pPr>
      <w:r>
        <w:t xml:space="preserve">NOTIFICATION of the Judge's decision (CPR Part 54.11, 54.12) </w:t>
      </w:r>
    </w:p>
    <w:p w:rsidR="00A45402" w:rsidRDefault="00A45402" w:rsidP="00A45402">
      <w:r>
        <w:t xml:space="preserve">Following consideration of the documents lodged by the Claimant and the Acknowledgement of service filed by the Defendant </w:t>
      </w:r>
    </w:p>
    <w:p w:rsidR="00A45402" w:rsidRDefault="00A45402" w:rsidP="00A45402">
      <w:r>
        <w:t xml:space="preserve">Order by the Honourable Mr Justice Edis </w:t>
      </w:r>
    </w:p>
    <w:p w:rsidR="00A45402" w:rsidRPr="00A45402" w:rsidRDefault="00A45402" w:rsidP="00A45402">
      <w:pPr>
        <w:rPr>
          <w:b/>
        </w:rPr>
      </w:pPr>
      <w:r w:rsidRPr="00A45402">
        <w:rPr>
          <w:b/>
        </w:rPr>
        <w:t xml:space="preserve">Permission is granted </w:t>
      </w:r>
    </w:p>
    <w:p w:rsidR="00A45402" w:rsidRDefault="00A45402" w:rsidP="00A45402">
      <w:pPr>
        <w:pStyle w:val="Heading3"/>
      </w:pPr>
      <w:r>
        <w:t xml:space="preserve">Observations: </w:t>
      </w:r>
    </w:p>
    <w:p w:rsidR="00A45402" w:rsidRDefault="00A45402" w:rsidP="004372BF">
      <w:pPr>
        <w:pStyle w:val="ListParagraph"/>
        <w:numPr>
          <w:ilvl w:val="0"/>
          <w:numId w:val="1"/>
        </w:numPr>
      </w:pPr>
      <w:r>
        <w:t>The claim Is clearly arguable on the merits, in that it claims that the SoS</w:t>
      </w:r>
      <w:r>
        <w:t xml:space="preserve"> {Secretary of State}</w:t>
      </w:r>
      <w:r>
        <w:t xml:space="preserve"> has a duty to decide whether to extend </w:t>
      </w:r>
      <w:r>
        <w:t>Q</w:t>
      </w:r>
      <w:r>
        <w:t>OCS</w:t>
      </w:r>
      <w:r>
        <w:t xml:space="preserve"> {Qualified One Way Costs Shifting}</w:t>
      </w:r>
      <w:r>
        <w:t xml:space="preserve"> to discrimination claims and has failed to do so. T</w:t>
      </w:r>
      <w:r>
        <w:t>h</w:t>
      </w:r>
      <w:r>
        <w:t xml:space="preserve">e answer by the SoS is that he has not failed to do so, and is in the process of doing so. There is no evidence as to what, exactly, this means. </w:t>
      </w:r>
    </w:p>
    <w:p w:rsidR="00A45402" w:rsidRDefault="00A45402" w:rsidP="004372BF">
      <w:pPr>
        <w:pStyle w:val="ListParagraph"/>
        <w:numPr>
          <w:ilvl w:val="0"/>
          <w:numId w:val="1"/>
        </w:numPr>
      </w:pPr>
      <w:r w:rsidRPr="00A45402">
        <w:t>LASPO {Legal Aid, Sentencing and Punishment of Offenders Act 2012}</w:t>
      </w:r>
      <w:r w:rsidRPr="004372BF">
        <w:rPr>
          <w:sz w:val="20"/>
        </w:rPr>
        <w:t xml:space="preserve"> </w:t>
      </w:r>
      <w:r>
        <w:t>was implemented, so far as relevant, on 1</w:t>
      </w:r>
      <w:r w:rsidRPr="004372BF">
        <w:rPr>
          <w:vertAlign w:val="superscript"/>
        </w:rPr>
        <w:t>st</w:t>
      </w:r>
      <w:r>
        <w:t xml:space="preserve"> </w:t>
      </w:r>
      <w:r>
        <w:t>April 2013. In a letter of 4</w:t>
      </w:r>
      <w:r w:rsidRPr="004372BF">
        <w:rPr>
          <w:vertAlign w:val="superscript"/>
        </w:rPr>
        <w:t>th</w:t>
      </w:r>
      <w:r>
        <w:t xml:space="preserve"> </w:t>
      </w:r>
      <w:r>
        <w:t xml:space="preserve">January 2017 to RNIB </w:t>
      </w:r>
      <w:r>
        <w:t xml:space="preserve">{Royal National Institute for the Blind} </w:t>
      </w:r>
      <w:r>
        <w:t>the defendant said "</w:t>
      </w:r>
      <w:r w:rsidRPr="004372BF">
        <w:rPr>
          <w:rFonts w:ascii="Consolas" w:hAnsi="Consolas"/>
        </w:rPr>
        <w:t>As you will no doubt have seen from the Government's response to the House o</w:t>
      </w:r>
      <w:r w:rsidRPr="004372BF">
        <w:rPr>
          <w:rFonts w:ascii="Consolas" w:hAnsi="Consolas"/>
        </w:rPr>
        <w:t>f</w:t>
      </w:r>
      <w:r w:rsidRPr="004372BF">
        <w:rPr>
          <w:rFonts w:ascii="Consolas" w:hAnsi="Consolas"/>
        </w:rPr>
        <w:t xml:space="preserve"> Lords Select Committee Report on the Equality Act 2010, which was published In July last year, the Government will be carrying out a post-implementation review of Access to Justice considerations, including whether the case is made out for extending </w:t>
      </w:r>
      <w:r w:rsidRPr="004372BF">
        <w:rPr>
          <w:rFonts w:ascii="Consolas" w:hAnsi="Consolas"/>
        </w:rPr>
        <w:t>Q</w:t>
      </w:r>
      <w:r w:rsidRPr="004372BF">
        <w:rPr>
          <w:rFonts w:ascii="Consolas" w:hAnsi="Consolas"/>
        </w:rPr>
        <w:t>OCS to other categories of law, including discrimination claims under the Equality Act 2010, will be addressed as part of that review.</w:t>
      </w:r>
      <w:r>
        <w:t xml:space="preserve">" </w:t>
      </w:r>
    </w:p>
    <w:p w:rsidR="00A45402" w:rsidRDefault="00A45402" w:rsidP="004372BF">
      <w:pPr>
        <w:pStyle w:val="ListParagraph"/>
        <w:numPr>
          <w:ilvl w:val="0"/>
          <w:numId w:val="1"/>
        </w:numPr>
      </w:pPr>
      <w:r>
        <w:t xml:space="preserve">Substantial evidence was then submitted to the PIR </w:t>
      </w:r>
      <w:r>
        <w:t xml:space="preserve">{Post Implementation Review} </w:t>
      </w:r>
      <w:r>
        <w:t xml:space="preserve">concerning </w:t>
      </w:r>
      <w:r>
        <w:t xml:space="preserve">the desirability </w:t>
      </w:r>
      <w:r>
        <w:t xml:space="preserve">of extending </w:t>
      </w:r>
      <w:r>
        <w:t>Q</w:t>
      </w:r>
      <w:r>
        <w:t>OCS</w:t>
      </w:r>
      <w:r w:rsidR="00B50256">
        <w:t xml:space="preserve"> {Qualified one way costs shifting}</w:t>
      </w:r>
      <w:r>
        <w:t xml:space="preserve"> to discrimination claims The PIR </w:t>
      </w:r>
      <w:r w:rsidR="00B50256">
        <w:t xml:space="preserve">{Post Implementation Review} </w:t>
      </w:r>
      <w:r>
        <w:t xml:space="preserve">was essentially an evidence gathering exercise and a report on the extent to which the reforms had met their </w:t>
      </w:r>
      <w:r>
        <w:t>objectives</w:t>
      </w:r>
      <w:r>
        <w:t xml:space="preserve">. It did not make any recommendations for any reform of the law by extending </w:t>
      </w:r>
      <w:r>
        <w:t>Q</w:t>
      </w:r>
      <w:r>
        <w:t>OCS</w:t>
      </w:r>
      <w:r w:rsidR="00B50256">
        <w:t xml:space="preserve"> </w:t>
      </w:r>
      <w:r w:rsidR="00B50256">
        <w:t xml:space="preserve">{Qualified </w:t>
      </w:r>
      <w:r w:rsidR="00344330">
        <w:t>O</w:t>
      </w:r>
      <w:r w:rsidR="00B50256">
        <w:t xml:space="preserve">ne </w:t>
      </w:r>
      <w:r w:rsidR="00344330">
        <w:t>W</w:t>
      </w:r>
      <w:r w:rsidR="00B50256">
        <w:t xml:space="preserve">ay </w:t>
      </w:r>
      <w:r w:rsidR="00344330">
        <w:t>C</w:t>
      </w:r>
      <w:r w:rsidR="00B50256">
        <w:t xml:space="preserve">osts </w:t>
      </w:r>
      <w:r w:rsidR="00344330">
        <w:t>S</w:t>
      </w:r>
      <w:r w:rsidR="00B50256">
        <w:t>hifting}</w:t>
      </w:r>
      <w:r>
        <w:t xml:space="preserve"> to discrimination cases. It identified the extension of </w:t>
      </w:r>
      <w:r>
        <w:t>Q</w:t>
      </w:r>
      <w:r>
        <w:t>OCS</w:t>
      </w:r>
      <w:r w:rsidR="00B50256">
        <w:t xml:space="preserve"> </w:t>
      </w:r>
      <w:r w:rsidR="00B50256">
        <w:t xml:space="preserve">{Qualified </w:t>
      </w:r>
      <w:r w:rsidR="00344330">
        <w:t>O</w:t>
      </w:r>
      <w:r w:rsidR="00B50256">
        <w:t xml:space="preserve">ne </w:t>
      </w:r>
      <w:r w:rsidR="00344330">
        <w:t>W</w:t>
      </w:r>
      <w:r w:rsidR="00B50256">
        <w:t xml:space="preserve">ay </w:t>
      </w:r>
      <w:r w:rsidR="00344330">
        <w:t>C</w:t>
      </w:r>
      <w:r w:rsidR="00B50256">
        <w:t xml:space="preserve">osts </w:t>
      </w:r>
      <w:r w:rsidR="00344330">
        <w:t>S</w:t>
      </w:r>
      <w:r w:rsidR="00B50256">
        <w:t>hifting}</w:t>
      </w:r>
      <w:r>
        <w:t xml:space="preserve"> beyond PI </w:t>
      </w:r>
      <w:r>
        <w:t xml:space="preserve">{Post Implementation} </w:t>
      </w:r>
      <w:r>
        <w:t>cases as a "</w:t>
      </w:r>
      <w:r w:rsidRPr="004372BF">
        <w:rPr>
          <w:rFonts w:ascii="Consolas" w:hAnsi="Consolas"/>
        </w:rPr>
        <w:t>main area of concern</w:t>
      </w:r>
      <w:r>
        <w:t xml:space="preserve">" and recorded the views it had received at 4.1, paragraphs 102­108. </w:t>
      </w:r>
    </w:p>
    <w:p w:rsidR="00A45402" w:rsidRDefault="00A45402" w:rsidP="004372BF">
      <w:pPr>
        <w:pStyle w:val="ListParagraph"/>
        <w:numPr>
          <w:ilvl w:val="0"/>
          <w:numId w:val="1"/>
        </w:numPr>
      </w:pPr>
      <w:r>
        <w:t xml:space="preserve">The PIR was published in February 2019 and, on this issue, said at paragraph 20 </w:t>
      </w:r>
      <w:r w:rsidR="004F3FE4">
        <w:t>“</w:t>
      </w:r>
      <w:r w:rsidR="004F3FE4" w:rsidRPr="004372BF">
        <w:rPr>
          <w:rFonts w:ascii="Consolas" w:hAnsi="Consolas"/>
        </w:rPr>
        <w:t xml:space="preserve">The </w:t>
      </w:r>
      <w:r w:rsidRPr="004372BF">
        <w:rPr>
          <w:rFonts w:ascii="Consolas" w:hAnsi="Consolas"/>
        </w:rPr>
        <w:t xml:space="preserve">second area of concern for is that </w:t>
      </w:r>
      <w:r w:rsidR="004F3FE4" w:rsidRPr="004372BF">
        <w:rPr>
          <w:rFonts w:ascii="Consolas" w:hAnsi="Consolas"/>
        </w:rPr>
        <w:t>Q</w:t>
      </w:r>
      <w:r w:rsidRPr="004372BF">
        <w:rPr>
          <w:rFonts w:ascii="Consolas" w:hAnsi="Consolas"/>
        </w:rPr>
        <w:t xml:space="preserve">OCS (or some other form of costs protection) should be extended beyond Pl. There are clear attractions </w:t>
      </w:r>
      <w:r w:rsidR="004F3FE4" w:rsidRPr="004372BF">
        <w:rPr>
          <w:rFonts w:ascii="Consolas" w:hAnsi="Consolas"/>
        </w:rPr>
        <w:t>f</w:t>
      </w:r>
      <w:r w:rsidRPr="004372BF">
        <w:rPr>
          <w:rFonts w:ascii="Consolas" w:hAnsi="Consolas"/>
        </w:rPr>
        <w:t>or claimants and their lawyers in being able to litigate at no or reduced costs risk. However, there is also a clear risk that by extending costs protection that some of the benefits of the Part 2 reforms would be undermined: the shifting of costs back to defendants, an ove</w:t>
      </w:r>
      <w:r w:rsidR="004F3FE4" w:rsidRPr="004372BF">
        <w:rPr>
          <w:rFonts w:ascii="Consolas" w:hAnsi="Consolas"/>
        </w:rPr>
        <w:t>r</w:t>
      </w:r>
      <w:r w:rsidRPr="004372BF">
        <w:rPr>
          <w:rFonts w:ascii="Consolas" w:hAnsi="Consolas"/>
        </w:rPr>
        <w:t>all increase in costs and the potential for prolonging rather than settling litigation. The Government would wish to be satisfied that these risks have been addressed before considering the case for extending costs protection further.</w:t>
      </w:r>
      <w:r>
        <w:t xml:space="preserve">" </w:t>
      </w:r>
    </w:p>
    <w:p w:rsidR="00A45402" w:rsidRDefault="00A45402" w:rsidP="004372BF">
      <w:pPr>
        <w:pStyle w:val="ListParagraph"/>
        <w:numPr>
          <w:ilvl w:val="0"/>
          <w:numId w:val="1"/>
        </w:numPr>
      </w:pPr>
      <w:r>
        <w:t>Whether that approach amounts to "</w:t>
      </w:r>
      <w:r w:rsidRPr="00EC074F">
        <w:rPr>
          <w:rFonts w:ascii="Consolas" w:hAnsi="Consolas"/>
        </w:rPr>
        <w:t>addressing</w:t>
      </w:r>
      <w:r>
        <w:t xml:space="preserve">" the case for extending </w:t>
      </w:r>
      <w:r w:rsidR="00344330">
        <w:t xml:space="preserve">QOCS {Qualified </w:t>
      </w:r>
      <w:r w:rsidR="00344330">
        <w:t>O</w:t>
      </w:r>
      <w:r w:rsidR="00344330">
        <w:t xml:space="preserve">ne </w:t>
      </w:r>
      <w:r w:rsidR="00344330">
        <w:t>W</w:t>
      </w:r>
      <w:r w:rsidR="00344330">
        <w:t xml:space="preserve">ay </w:t>
      </w:r>
      <w:r w:rsidR="00344330">
        <w:t>C</w:t>
      </w:r>
      <w:r w:rsidR="00344330">
        <w:t xml:space="preserve">osts </w:t>
      </w:r>
      <w:r w:rsidR="00344330">
        <w:t>S</w:t>
      </w:r>
      <w:r w:rsidR="00344330">
        <w:t xml:space="preserve">hifting} </w:t>
      </w:r>
      <w:r>
        <w:t xml:space="preserve">to </w:t>
      </w:r>
      <w:r>
        <w:t>discrimination</w:t>
      </w:r>
      <w:r>
        <w:t xml:space="preserve"> claims as promised in the January letter may be arguable. It certainly did not decide the merits o</w:t>
      </w:r>
      <w:r w:rsidR="00EC074F">
        <w:t>f</w:t>
      </w:r>
      <w:r>
        <w:t xml:space="preserve"> that case, or propose any mechanism for doing so </w:t>
      </w:r>
    </w:p>
    <w:p w:rsidR="00D73016" w:rsidRDefault="00A45402" w:rsidP="004372BF">
      <w:pPr>
        <w:pStyle w:val="ListParagraph"/>
        <w:numPr>
          <w:ilvl w:val="0"/>
          <w:numId w:val="1"/>
        </w:numPr>
      </w:pPr>
      <w:r>
        <w:lastRenderedPageBreak/>
        <w:t xml:space="preserve">Apart from assertions </w:t>
      </w:r>
      <w:r w:rsidR="00D73016">
        <w:t>in</w:t>
      </w:r>
      <w:r>
        <w:t xml:space="preserve"> the AoS </w:t>
      </w:r>
      <w:r w:rsidR="00D73016">
        <w:t xml:space="preserve">{Acknowledgement of Service} </w:t>
      </w:r>
      <w:r>
        <w:t>and pre-action correspondence, that</w:t>
      </w:r>
      <w:r w:rsidR="00D73016">
        <w:t xml:space="preserve"> is all the </w:t>
      </w:r>
      <w:r>
        <w:t xml:space="preserve">evidence before the court about the current state of the decision making process </w:t>
      </w:r>
      <w:r w:rsidR="00D73016">
        <w:t>which is arguably required in view of the submissions made to the PIR</w:t>
      </w:r>
      <w:r w:rsidR="00344330">
        <w:t xml:space="preserve"> {Post Implementation Review}</w:t>
      </w:r>
      <w:r w:rsidR="00D73016">
        <w:t xml:space="preserve"> about the Public Sector Equality Duty etc. </w:t>
      </w:r>
    </w:p>
    <w:p w:rsidR="00A45402" w:rsidRDefault="00A45402" w:rsidP="004372BF">
      <w:pPr>
        <w:pStyle w:val="ListParagraph"/>
        <w:numPr>
          <w:ilvl w:val="0"/>
          <w:numId w:val="1"/>
        </w:numPr>
      </w:pPr>
      <w:r>
        <w:t xml:space="preserve">The final sentence of paragraph 20 of the </w:t>
      </w:r>
      <w:r w:rsidR="00344330">
        <w:t xml:space="preserve">PIR {Post Implementation Review} </w:t>
      </w:r>
      <w:r>
        <w:t xml:space="preserve">says, in terms, that </w:t>
      </w:r>
      <w:r w:rsidR="00D73016">
        <w:t xml:space="preserve">the government is not considering the case for extending costs protection to discrimination cases. It says it will not do so until it is satisfied </w:t>
      </w:r>
      <w:r>
        <w:t>that some ill-defined "</w:t>
      </w:r>
      <w:r w:rsidRPr="00EC074F">
        <w:rPr>
          <w:rFonts w:ascii="Consolas" w:hAnsi="Consolas"/>
        </w:rPr>
        <w:t>risks</w:t>
      </w:r>
      <w:r>
        <w:t>" have been "</w:t>
      </w:r>
      <w:r w:rsidRPr="00EC074F">
        <w:rPr>
          <w:rFonts w:ascii="Consolas" w:hAnsi="Consolas"/>
        </w:rPr>
        <w:t>addressed</w:t>
      </w:r>
      <w:r>
        <w:t xml:space="preserve">" in some unspecified way by some unspecified process or person. The AoS </w:t>
      </w:r>
      <w:r w:rsidR="00344330">
        <w:t xml:space="preserve">{Acknowledgement of Service} </w:t>
      </w:r>
      <w:r>
        <w:t>says that the Government is not legally obliged to follow any particular timetable in pursuing this amorphous exercise, and is, therefore, entitled to take as long as it likes before starting to consider the issue it promised to "</w:t>
      </w:r>
      <w:r w:rsidRPr="00EC074F">
        <w:rPr>
          <w:rFonts w:ascii="Consolas" w:hAnsi="Consolas"/>
        </w:rPr>
        <w:t>address</w:t>
      </w:r>
      <w:r>
        <w:t>" in its letter of January 201</w:t>
      </w:r>
      <w:r w:rsidR="004372BF">
        <w:t>7.</w:t>
      </w:r>
    </w:p>
    <w:p w:rsidR="00A45402" w:rsidRDefault="00A45402" w:rsidP="004372BF">
      <w:pPr>
        <w:pStyle w:val="ListParagraph"/>
        <w:numPr>
          <w:ilvl w:val="0"/>
          <w:numId w:val="1"/>
        </w:numPr>
      </w:pPr>
      <w:r>
        <w:t xml:space="preserve">It may transpire when evidence is served by the SoS </w:t>
      </w:r>
      <w:r w:rsidR="00344330">
        <w:t xml:space="preserve">{Secretary of State} </w:t>
      </w:r>
      <w:r>
        <w:t>complying with his duty of candour that there is a perfectly lawful process in place. Presently, it is arguable that there is not. Please see t</w:t>
      </w:r>
      <w:r w:rsidR="004372BF">
        <w:t>h</w:t>
      </w:r>
      <w:r>
        <w:t xml:space="preserve">e note at the end of this order. </w:t>
      </w:r>
    </w:p>
    <w:p w:rsidR="00A45402" w:rsidRDefault="00A45402" w:rsidP="004372BF">
      <w:pPr>
        <w:pStyle w:val="Heading3"/>
      </w:pPr>
      <w:r>
        <w:t xml:space="preserve">Case management directions </w:t>
      </w:r>
    </w:p>
    <w:p w:rsidR="00344330" w:rsidRDefault="00344330" w:rsidP="00EC074F">
      <w:pPr>
        <w:pStyle w:val="ListParagraph"/>
        <w:numPr>
          <w:ilvl w:val="0"/>
          <w:numId w:val="2"/>
        </w:numPr>
      </w:pPr>
      <w:r>
        <w:t>The</w:t>
      </w:r>
      <w:r w:rsidR="00A45402">
        <w:t xml:space="preserve"> defendant and any other person served with the claim </w:t>
      </w:r>
      <w:r>
        <w:t>form</w:t>
      </w:r>
      <w:r w:rsidR="00A45402">
        <w:t xml:space="preserve"> who wishes to contest the claim or support it on additional grounds must </w:t>
      </w:r>
      <w:r>
        <w:t>file</w:t>
      </w:r>
      <w:r w:rsidR="00A45402">
        <w:t xml:space="preserve"> and serve detailed grounds for contesting the claim or supporting it on additional grounds and any written evidence, within 35 days after service of t</w:t>
      </w:r>
      <w:r>
        <w:t xml:space="preserve">his </w:t>
      </w:r>
      <w:r w:rsidR="00A45402">
        <w:t>order</w:t>
      </w:r>
    </w:p>
    <w:p w:rsidR="00A45402" w:rsidRDefault="00A45402" w:rsidP="00EC074F">
      <w:pPr>
        <w:pStyle w:val="ListParagraph"/>
        <w:numPr>
          <w:ilvl w:val="0"/>
          <w:numId w:val="2"/>
        </w:numPr>
      </w:pPr>
      <w:r>
        <w:t>Any reply and any application by the claimant to lodge further evidence must be lodged within 21 days of t</w:t>
      </w:r>
      <w:r w:rsidR="00344330">
        <w:t>he</w:t>
      </w:r>
      <w:r>
        <w:t xml:space="preserve"> service of detailed grounds for contesting the claim. </w:t>
      </w:r>
    </w:p>
    <w:p w:rsidR="00A45402" w:rsidRDefault="00A45402" w:rsidP="00EC074F">
      <w:pPr>
        <w:pStyle w:val="ListParagraph"/>
        <w:numPr>
          <w:ilvl w:val="0"/>
          <w:numId w:val="2"/>
        </w:numPr>
      </w:pPr>
      <w:r>
        <w:t>The claimant</w:t>
      </w:r>
      <w:r w:rsidR="00344330">
        <w:t xml:space="preserve"> must </w:t>
      </w:r>
      <w:r>
        <w:t xml:space="preserve">file and serve a trial bundle not less than 4 weeks before the date of the hearing of the judicial review. </w:t>
      </w:r>
    </w:p>
    <w:p w:rsidR="00A45402" w:rsidRDefault="00A45402" w:rsidP="00EC074F">
      <w:pPr>
        <w:pStyle w:val="ListParagraph"/>
        <w:numPr>
          <w:ilvl w:val="0"/>
          <w:numId w:val="2"/>
        </w:numPr>
      </w:pPr>
      <w:r>
        <w:t>T</w:t>
      </w:r>
      <w:r w:rsidR="00344330">
        <w:t>h</w:t>
      </w:r>
      <w:r>
        <w:t xml:space="preserve">e claimant must file and serve a skeleton argument not less </w:t>
      </w:r>
      <w:r w:rsidR="00344330">
        <w:t>than</w:t>
      </w:r>
      <w:r>
        <w:t xml:space="preserve"> 21 days before the date of the hearing of the judicial review. </w:t>
      </w:r>
    </w:p>
    <w:p w:rsidR="00A45402" w:rsidRDefault="00A45402" w:rsidP="00EC074F">
      <w:pPr>
        <w:pStyle w:val="ListParagraph"/>
        <w:numPr>
          <w:ilvl w:val="0"/>
          <w:numId w:val="2"/>
        </w:numPr>
      </w:pPr>
      <w:r>
        <w:t xml:space="preserve">The defendant and any interested party must file and serve a skeleton argument not less than 14 days before the date of the </w:t>
      </w:r>
      <w:r w:rsidR="00344330">
        <w:t>hearing</w:t>
      </w:r>
      <w:r>
        <w:t xml:space="preserve"> of the </w:t>
      </w:r>
      <w:r w:rsidR="00344330">
        <w:t>j</w:t>
      </w:r>
      <w:r>
        <w:t xml:space="preserve">udicial review. </w:t>
      </w:r>
    </w:p>
    <w:p w:rsidR="00A45402" w:rsidRDefault="00A45402" w:rsidP="00EC074F">
      <w:pPr>
        <w:pStyle w:val="ListParagraph"/>
        <w:numPr>
          <w:ilvl w:val="0"/>
          <w:numId w:val="2"/>
        </w:numPr>
      </w:pPr>
      <w:r>
        <w:t xml:space="preserve">The claimant must file an agreed bundle of authorities, not </w:t>
      </w:r>
      <w:r w:rsidR="00EC074F">
        <w:t>less</w:t>
      </w:r>
      <w:r>
        <w:t xml:space="preserve"> than 3 days before the date of the hearing of the judicial review. </w:t>
      </w:r>
    </w:p>
    <w:p w:rsidR="00EC074F" w:rsidRDefault="00EC074F" w:rsidP="00EC074F">
      <w:pPr>
        <w:pStyle w:val="Heading3"/>
      </w:pPr>
      <w:r>
        <w:t>L</w:t>
      </w:r>
      <w:r w:rsidR="00A45402">
        <w:t xml:space="preserve">isting Directions </w:t>
      </w:r>
    </w:p>
    <w:p w:rsidR="00A45402" w:rsidRDefault="00A45402" w:rsidP="00A45402">
      <w:r>
        <w:t xml:space="preserve">The, application is to be listed for 1 DAY; counsel to provide a written time estimate within 7 days of service of this order if counsel disagrees with this direction. </w:t>
      </w:r>
    </w:p>
    <w:p w:rsidR="00A45402" w:rsidRDefault="00A45402" w:rsidP="00A45402">
      <w:r>
        <w:t xml:space="preserve">Case NOT suitable </w:t>
      </w:r>
      <w:r w:rsidR="00EC074F">
        <w:t>f</w:t>
      </w:r>
      <w:r>
        <w:t>or hearing by a Deputy High Court Judge</w:t>
      </w:r>
      <w:r w:rsidR="00EC074F">
        <w:t xml:space="preserve"> {Checkbox checked}</w:t>
      </w:r>
    </w:p>
    <w:p w:rsidR="00EC074F" w:rsidRDefault="00EC074F" w:rsidP="00DC333A">
      <w:r>
        <w:t>Signed: Andrew Edis</w:t>
      </w:r>
      <w:r w:rsidR="00DC333A">
        <w:t xml:space="preserve"> {High court judge}</w:t>
      </w:r>
    </w:p>
    <w:sectPr w:rsidR="00EC074F" w:rsidSect="00EC074F">
      <w:footerReference w:type="default" r:id="rId7"/>
      <w:pgSz w:w="11906" w:h="16838" w:code="9"/>
      <w:pgMar w:top="1134" w:right="1077" w:bottom="1134" w:left="107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284" w:rsidRDefault="00C66284" w:rsidP="00EC074F">
      <w:pPr>
        <w:spacing w:after="0" w:line="240" w:lineRule="auto"/>
      </w:pPr>
      <w:r>
        <w:separator/>
      </w:r>
    </w:p>
  </w:endnote>
  <w:endnote w:type="continuationSeparator" w:id="0">
    <w:p w:rsidR="00C66284" w:rsidRDefault="00C66284" w:rsidP="00EC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14827">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74F" w:rsidRPr="00EC074F" w:rsidRDefault="00EC074F" w:rsidP="00EC074F">
    <w:pPr>
      <w:pStyle w:val="Default"/>
      <w:rPr>
        <w:rFonts w:asciiTheme="minorHAnsi" w:hAnsiTheme="minorHAnsi" w:cstheme="minorHAnsi"/>
        <w:sz w:val="20"/>
        <w:szCs w:val="20"/>
      </w:rPr>
    </w:pPr>
    <w:r w:rsidRPr="00EC074F">
      <w:rPr>
        <w:rFonts w:asciiTheme="minorHAnsi" w:hAnsiTheme="minorHAnsi" w:cstheme="minorHAnsi"/>
        <w:sz w:val="20"/>
        <w:szCs w:val="20"/>
      </w:rPr>
      <w:t xml:space="preserve">Form JRJ 13 v June 2017  - Judicial Review Permission Granted with Expedited Hearing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284" w:rsidRDefault="00C66284" w:rsidP="00EC074F">
      <w:pPr>
        <w:spacing w:after="0" w:line="240" w:lineRule="auto"/>
      </w:pPr>
      <w:r>
        <w:separator/>
      </w:r>
    </w:p>
  </w:footnote>
  <w:footnote w:type="continuationSeparator" w:id="0">
    <w:p w:rsidR="00C66284" w:rsidRDefault="00C66284" w:rsidP="00EC0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1066D"/>
    <w:multiLevelType w:val="hybridMultilevel"/>
    <w:tmpl w:val="6DDC2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E001B7"/>
    <w:multiLevelType w:val="hybridMultilevel"/>
    <w:tmpl w:val="E2B4BB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02"/>
    <w:rsid w:val="00344330"/>
    <w:rsid w:val="004372BF"/>
    <w:rsid w:val="004F3FE4"/>
    <w:rsid w:val="00570331"/>
    <w:rsid w:val="0072650D"/>
    <w:rsid w:val="00A45402"/>
    <w:rsid w:val="00AA6EFC"/>
    <w:rsid w:val="00B50256"/>
    <w:rsid w:val="00C66284"/>
    <w:rsid w:val="00D73016"/>
    <w:rsid w:val="00DC333A"/>
    <w:rsid w:val="00E74716"/>
    <w:rsid w:val="00EC0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6BB04"/>
  <w15:chartTrackingRefBased/>
  <w15:docId w15:val="{CBFFC349-8C82-4CB0-B104-FCE53437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50D"/>
  </w:style>
  <w:style w:type="paragraph" w:styleId="Heading1">
    <w:name w:val="heading 1"/>
    <w:basedOn w:val="Normal"/>
    <w:next w:val="Normal"/>
    <w:link w:val="Heading1Char"/>
    <w:uiPriority w:val="9"/>
    <w:qFormat/>
    <w:rsid w:val="00DC333A"/>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DC333A"/>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DC333A"/>
    <w:pPr>
      <w:keepNext/>
      <w:keepLines/>
      <w:spacing w:before="120" w:after="0"/>
      <w:outlineLvl w:val="2"/>
    </w:pPr>
    <w:rPr>
      <w:rFonts w:asciiTheme="majorHAnsi" w:eastAsiaTheme="majorEastAsia" w:hAnsiTheme="majorHAnsi" w:cstheme="majorBidi"/>
      <w:b/>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33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DC333A"/>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DC333A"/>
    <w:rPr>
      <w:rFonts w:asciiTheme="majorHAnsi" w:eastAsiaTheme="majorEastAsia" w:hAnsiTheme="majorHAnsi" w:cstheme="majorBidi"/>
      <w:b/>
      <w:sz w:val="26"/>
      <w:szCs w:val="24"/>
    </w:rPr>
  </w:style>
  <w:style w:type="paragraph" w:styleId="ListParagraph">
    <w:name w:val="List Paragraph"/>
    <w:basedOn w:val="Normal"/>
    <w:uiPriority w:val="34"/>
    <w:qFormat/>
    <w:rsid w:val="004372BF"/>
    <w:pPr>
      <w:spacing w:after="120" w:line="252" w:lineRule="auto"/>
      <w:ind w:left="720"/>
    </w:pPr>
  </w:style>
  <w:style w:type="paragraph" w:styleId="Header">
    <w:name w:val="header"/>
    <w:basedOn w:val="Normal"/>
    <w:link w:val="HeaderChar"/>
    <w:uiPriority w:val="99"/>
    <w:unhideWhenUsed/>
    <w:rsid w:val="00EC0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74F"/>
  </w:style>
  <w:style w:type="paragraph" w:styleId="Footer">
    <w:name w:val="footer"/>
    <w:basedOn w:val="Normal"/>
    <w:link w:val="FooterChar"/>
    <w:uiPriority w:val="99"/>
    <w:unhideWhenUsed/>
    <w:rsid w:val="00EC0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74F"/>
  </w:style>
  <w:style w:type="paragraph" w:customStyle="1" w:styleId="Default">
    <w:name w:val="Default"/>
    <w:rsid w:val="00EC074F"/>
    <w:pPr>
      <w:autoSpaceDE w:val="0"/>
      <w:autoSpaceDN w:val="0"/>
      <w:adjustRightInd w:val="0"/>
      <w:spacing w:after="0" w:line="240" w:lineRule="auto"/>
    </w:pPr>
    <w:rPr>
      <w:rFonts w:ascii="*Arial-14827" w:hAnsi="*Arial-14827" w:cs="*Arial-14827"/>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ataly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Dell</dc:creator>
  <cp:keywords/>
  <dc:description/>
  <cp:lastModifiedBy>Natalya Dell</cp:lastModifiedBy>
  <cp:revision>2</cp:revision>
  <dcterms:created xsi:type="dcterms:W3CDTF">2019-09-13T15:20:00Z</dcterms:created>
  <dcterms:modified xsi:type="dcterms:W3CDTF">2019-09-13T15:20:00Z</dcterms:modified>
</cp:coreProperties>
</file>